
<file path=[Content_Types].xml><?xml version="1.0" encoding="utf-8"?>
<Types xmlns="http://schemas.openxmlformats.org/package/2006/content-types">
  <Default ContentType="application/xml" Extension="xml"/>
  <Default ContentType="image/png" Extension="png"/>
  <Default ContentType="application/vnd.openxmlformats-officedocument.obfuscatedFont" Extension="odttf"/>
  <Default ContentType="application/vnd.openxmlformats-package.relationships+xml" Extension="rels"/>
  <Override ContentType="application/vnd.openxmlformats-officedocument.wordprocessingml.settings+xml" PartName="/word/settings.xml"/>
  <Override ContentType="application/vnd.openxmlformats-officedocument.wordprocessingml.styles+xml" PartName="/word/styles.xml"/>
  <Override ContentType="application/vnd.openxmlformats-officedocument.wordprocessingml.footer+xml" PartName="/word/footer1.xml"/>
  <Override ContentType="application/vnd.openxmlformats-officedocument.wordprocessingml.fontTable+xml" PartName="/word/fontTable.xml"/>
  <Override ContentType="application/vnd.openxmlformats-officedocument.wordprocessingml.numbering+xml" PartName="/word/numbering.xml"/>
  <Override ContentType="application/vnd.openxmlformats-officedocument.wordprocessingml.document.main+xml" PartName="/word/document.xml"/>
  <Override ContentType="application/vnd.openxmlformats-officedocument.theme+xml" PartName="/word/theme/theme1.xml"/>
  <Override ContentType="application/vnd.openxmlformats-officedocument.wordprocessingml.header+xml" PartName="/word/header1.xml"/>
</Types>
</file>

<file path=_rels/.rels><?xml version="1.0" encoding="UTF-8" standalone="yes"?><Relationships xmlns="http://schemas.openxmlformats.org/package/2006/relationships"><Relationship Id="rId1" Type="http://schemas.openxmlformats.org/officeDocument/2006/relationships/officeDocument" Target="word/document.xml"/></Relationships>
</file>

<file path=word/document.xml><?xml version="1.0" encoding="utf-8"?>
<w:document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background w:color="FFFFFF"/>
  <w:body>
    <w:p w:rsidR="00000000" w:rsidDel="00000000" w:rsidP="00000000" w:rsidRDefault="00000000" w:rsidRPr="00000000" w14:paraId="00000001">
      <w:pPr>
        <w:rPr>
          <w:rFonts w:ascii="Calibri" w:cs="Calibri" w:eastAsia="Calibri" w:hAnsi="Calibri"/>
          <w:b w:val="1"/>
          <w:bCs w:val="1"/>
          <w:sz w:val="30"/>
          <w:szCs w:val="30"/>
        </w:rPr>
      </w:pPr>
      <w:r w:rsidDel="00000000" w:rsidR="00000000" w:rsidRPr="00000000">
        <w:rPr>
          <w:rtl w:val="0"/>
        </w:rPr>
      </w:r>
    </w:p>
    <w:tbl>
      <w:tblPr>
        <w:tblStyle w:val="Table1"/>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9360"/>
        <w:tblGridChange w:id="0">
          <w:tblGrid>
            <w:gridCol w:w="9360"/>
          </w:tblGrid>
        </w:tblGridChange>
      </w:tblGrid>
      <w:tr>
        <w:trPr>
          <w:cantSplit w:val="0"/>
          <w:tblHeader w:val="0"/>
        </w:trPr>
        <w:tc>
          <w:tcPr>
            <w:tcBorders>
              <w:bottom w:color="073763" w:space="0" w:sz="8" w:val="single"/>
            </w:tcBorders>
            <w:shd w:fill="efefef" w:val="clear"/>
            <w:tcMar>
              <w:top w:w="100.0" w:type="dxa"/>
              <w:left w:w="100.0" w:type="dxa"/>
              <w:bottom w:w="100.0" w:type="dxa"/>
              <w:right w:w="100.0" w:type="dxa"/>
            </w:tcMar>
            <w:vAlign w:val="top"/>
          </w:tcPr>
          <w:p w:rsidR="00000000" w:rsidDel="00000000" w:rsidP="00000000" w:rsidRDefault="00000000" w:rsidRPr="00000000" w14:paraId="00000002">
            <w:pPr>
              <w:jc w:val="center"/>
              <w:rPr>
                <w:rFonts w:ascii="Calibri" w:cs="Calibri" w:eastAsia="Calibri" w:hAnsi="Calibri"/>
                <w:b w:val="1"/>
                <w:bCs w:val="1"/>
                <w:color w:val="cc0000"/>
                <w:sz w:val="30"/>
                <w:szCs w:val="30"/>
              </w:rPr>
            </w:pPr>
            <w:r w:rsidDel="00000000" w:rsidR="00000000" w:rsidRPr="00000000">
              <w:rPr>
                <w:rFonts w:ascii="Calibri" w:cs="Calibri" w:eastAsia="Calibri" w:hAnsi="Calibri"/>
                <w:b w:val="1"/>
                <w:bCs w:val="1"/>
                <w:color w:val="cc0000"/>
                <w:sz w:val="30"/>
                <w:szCs w:val="30"/>
                <w:rtl w:val="0"/>
              </w:rPr>
              <w:t xml:space="preserve">Tactics, Tools, and Turnout: </w:t>
            </w:r>
          </w:p>
          <w:p w:rsidR="00000000" w:rsidDel="00000000" w:rsidP="00000000" w:rsidRDefault="00000000" w:rsidRPr="00000000" w14:paraId="00000003">
            <w:pPr>
              <w:jc w:val="center"/>
              <w:rPr>
                <w:rFonts w:ascii="Calibri" w:cs="Calibri" w:eastAsia="Calibri" w:hAnsi="Calibri"/>
                <w:b w:val="1"/>
                <w:bCs w:val="1"/>
                <w:sz w:val="30"/>
                <w:szCs w:val="30"/>
              </w:rPr>
            </w:pPr>
            <w:r w:rsidDel="00000000" w:rsidR="00000000" w:rsidRPr="00000000">
              <w:rPr>
                <w:rFonts w:ascii="Calibri" w:cs="Calibri" w:eastAsia="Calibri" w:hAnsi="Calibri"/>
                <w:b w:val="1"/>
                <w:bCs w:val="1"/>
                <w:color w:val="cc0000"/>
                <w:sz w:val="30"/>
                <w:szCs w:val="30"/>
                <w:rtl w:val="0"/>
              </w:rPr>
              <w:t xml:space="preserve">Tension in American Voting Laws</w:t>
            </w:r>
            <w:r w:rsidDel="00000000" w:rsidR="00000000" w:rsidRPr="00000000">
              <w:rPr>
                <w:rtl w:val="0"/>
              </w:rPr>
            </w:r>
          </w:p>
        </w:tc>
      </w:tr>
      <w:tr>
        <w:trPr>
          <w:cantSplit w:val="0"/>
          <w:tblHeader w:val="0"/>
        </w:trPr>
        <w:tc>
          <w:tcPr>
            <w:tcBorders>
              <w:top w:color="073763" w:space="0" w:sz="8" w:val="single"/>
            </w:tcBorders>
            <w:shd w:fill="auto" w:val="clear"/>
            <w:tcMar>
              <w:top w:w="100.0" w:type="dxa"/>
              <w:left w:w="100.0" w:type="dxa"/>
              <w:bottom w:w="100.0" w:type="dxa"/>
              <w:right w:w="100.0" w:type="dxa"/>
            </w:tcMar>
            <w:vAlign w:val="top"/>
          </w:tcPr>
          <w:p w:rsidR="00000000" w:rsidDel="00000000" w:rsidP="00000000" w:rsidRDefault="00000000" w:rsidRPr="00000000" w14:paraId="0000000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color w:val="073763"/>
                <w:sz w:val="24"/>
                <w:szCs w:val="24"/>
              </w:rPr>
            </w:pPr>
            <w:r w:rsidDel="00000000" w:rsidR="00000000" w:rsidRPr="00000000">
              <w:rPr>
                <w:rFonts w:ascii="Calibri" w:cs="Calibri" w:eastAsia="Calibri" w:hAnsi="Calibri"/>
                <w:b w:val="1"/>
                <w:bCs w:val="1"/>
                <w:color w:val="073763"/>
                <w:sz w:val="24"/>
                <w:szCs w:val="24"/>
                <w:rtl w:val="0"/>
              </w:rPr>
              <w:t xml:space="preserve">Directions:  Two voting-related topics are presented below.  Select one to learn more about:</w:t>
            </w:r>
          </w:p>
          <w:p w:rsidR="00000000" w:rsidDel="00000000" w:rsidP="00000000" w:rsidRDefault="00000000" w:rsidRPr="00000000" w14:paraId="00000005">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1"/>
                <w:bCs w:val="1"/>
                <w:color w:val="073763"/>
                <w:sz w:val="24"/>
                <w:szCs w:val="24"/>
              </w:rPr>
            </w:pPr>
            <w:r w:rsidDel="00000000" w:rsidR="00000000" w:rsidRPr="00000000">
              <w:rPr>
                <w:rFonts w:ascii="Calibri" w:cs="Calibri" w:eastAsia="Calibri" w:hAnsi="Calibri"/>
                <w:b w:val="1"/>
                <w:bCs w:val="1"/>
                <w:color w:val="073763"/>
                <w:sz w:val="24"/>
                <w:szCs w:val="24"/>
                <w:rtl w:val="0"/>
              </w:rPr>
              <w:t xml:space="preserve">Examine the data from USA Facts</w:t>
            </w:r>
          </w:p>
          <w:p w:rsidR="00000000" w:rsidDel="00000000" w:rsidP="00000000" w:rsidRDefault="00000000" w:rsidRPr="00000000" w14:paraId="00000006">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1"/>
                <w:bCs w:val="1"/>
                <w:color w:val="073763"/>
                <w:sz w:val="24"/>
                <w:szCs w:val="24"/>
              </w:rPr>
            </w:pPr>
            <w:r w:rsidDel="00000000" w:rsidR="00000000" w:rsidRPr="00000000">
              <w:rPr>
                <w:rFonts w:ascii="Calibri" w:cs="Calibri" w:eastAsia="Calibri" w:hAnsi="Calibri"/>
                <w:b w:val="1"/>
                <w:bCs w:val="1"/>
                <w:color w:val="073763"/>
                <w:sz w:val="24"/>
                <w:szCs w:val="24"/>
                <w:rtl w:val="0"/>
              </w:rPr>
              <w:t xml:space="preserve">Read through the Constitution Daily Blog</w:t>
            </w:r>
          </w:p>
          <w:p w:rsidR="00000000" w:rsidDel="00000000" w:rsidP="00000000" w:rsidRDefault="00000000" w:rsidRPr="00000000" w14:paraId="00000007">
            <w:pPr>
              <w:keepNext w:val="0"/>
              <w:keepLines w:val="0"/>
              <w:pageBreakBefore w:val="0"/>
              <w:widowControl w:val="0"/>
              <w:numPr>
                <w:ilvl w:val="0"/>
                <w:numId w:val="1"/>
              </w:numPr>
              <w:pBdr>
                <w:top w:space="0" w:sz="0" w:val="nil"/>
                <w:left w:space="0" w:sz="0" w:val="nil"/>
                <w:bottom w:space="0" w:sz="0" w:val="nil"/>
                <w:right w:space="0" w:sz="0" w:val="nil"/>
                <w:between w:space="0" w:sz="0" w:val="nil"/>
              </w:pBdr>
              <w:shd w:fill="auto" w:val="clear"/>
              <w:spacing w:after="0" w:before="0" w:line="240" w:lineRule="auto"/>
              <w:ind w:left="720" w:right="0" w:hanging="360"/>
              <w:jc w:val="left"/>
              <w:rPr>
                <w:rFonts w:ascii="Calibri" w:cs="Calibri" w:eastAsia="Calibri" w:hAnsi="Calibri"/>
                <w:b w:val="1"/>
                <w:bCs w:val="1"/>
                <w:color w:val="073763"/>
                <w:sz w:val="24"/>
                <w:szCs w:val="24"/>
              </w:rPr>
            </w:pPr>
            <w:r w:rsidDel="00000000" w:rsidR="00000000" w:rsidRPr="00000000">
              <w:rPr>
                <w:rFonts w:ascii="Calibri" w:cs="Calibri" w:eastAsia="Calibri" w:hAnsi="Calibri"/>
                <w:b w:val="1"/>
                <w:bCs w:val="1"/>
                <w:color w:val="073763"/>
                <w:sz w:val="24"/>
                <w:szCs w:val="24"/>
                <w:rtl w:val="0"/>
              </w:rPr>
              <w:t xml:space="preserve">Annotate and/or write emerging questions about your reading and research.</w:t>
            </w:r>
          </w:p>
        </w:tc>
      </w:tr>
    </w:tbl>
    <w:p w:rsidR="00000000" w:rsidDel="00000000" w:rsidP="00000000" w:rsidRDefault="00000000" w:rsidRPr="00000000" w14:paraId="00000008">
      <w:pPr>
        <w:rPr>
          <w:rFonts w:ascii="Calibri" w:cs="Calibri" w:eastAsia="Calibri" w:hAnsi="Calibri"/>
          <w:sz w:val="24"/>
          <w:szCs w:val="24"/>
        </w:rPr>
      </w:pPr>
      <w:r w:rsidDel="00000000" w:rsidR="00000000" w:rsidRPr="00000000">
        <w:rPr>
          <w:rtl w:val="0"/>
        </w:rPr>
      </w:r>
    </w:p>
    <w:p w:rsidR="00000000" w:rsidDel="00000000" w:rsidP="00000000" w:rsidRDefault="00000000" w:rsidRPr="00000000" w14:paraId="00000009">
      <w:pPr>
        <w:rPr>
          <w:rFonts w:ascii="Calibri" w:cs="Calibri" w:eastAsia="Calibri" w:hAnsi="Calibri"/>
        </w:rPr>
      </w:pPr>
      <w:r w:rsidDel="00000000" w:rsidR="00000000" w:rsidRPr="00000000">
        <w:rPr>
          <w:rtl w:val="0"/>
        </w:rPr>
      </w:r>
    </w:p>
    <w:tbl>
      <w:tblPr>
        <w:tblStyle w:val="Table2"/>
        <w:tblW w:w="9360.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55"/>
        <w:gridCol w:w="5925"/>
        <w:gridCol w:w="2280"/>
        <w:tblGridChange w:id="0">
          <w:tblGrid>
            <w:gridCol w:w="1155"/>
            <w:gridCol w:w="5925"/>
            <w:gridCol w:w="2280"/>
          </w:tblGrid>
        </w:tblGridChange>
      </w:tblGrid>
      <w:tr>
        <w:trPr>
          <w:cantSplit w:val="0"/>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0A">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color w:val="073763"/>
              </w:rPr>
            </w:pPr>
            <w:r w:rsidDel="00000000" w:rsidR="00000000" w:rsidRPr="00000000">
              <w:rPr>
                <w:rFonts w:ascii="Calibri" w:cs="Calibri" w:eastAsia="Calibri" w:hAnsi="Calibri"/>
                <w:b w:val="1"/>
                <w:bCs w:val="1"/>
                <w:color w:val="073763"/>
                <w:rtl w:val="0"/>
              </w:rPr>
              <w:t xml:space="preserve">Topic 1</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0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color w:val="073763"/>
              </w:rPr>
            </w:pPr>
            <w:r w:rsidDel="00000000" w:rsidR="00000000" w:rsidRPr="00000000">
              <w:rPr>
                <w:rFonts w:ascii="Calibri" w:cs="Calibri" w:eastAsia="Calibri" w:hAnsi="Calibri"/>
                <w:b w:val="1"/>
                <w:bCs w:val="1"/>
                <w:color w:val="073763"/>
                <w:rtl w:val="0"/>
              </w:rPr>
              <w:t xml:space="preserve">Voter Registration</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0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color w:val="073763"/>
              </w:rPr>
            </w:pPr>
            <w:r w:rsidDel="00000000" w:rsidR="00000000" w:rsidRPr="00000000">
              <w:rPr>
                <w:rFonts w:ascii="Calibri" w:cs="Calibri" w:eastAsia="Calibri" w:hAnsi="Calibri"/>
                <w:b w:val="1"/>
                <w:bCs w:val="1"/>
                <w:color w:val="073763"/>
                <w:rtl w:val="0"/>
              </w:rPr>
              <w:t xml:space="preserve">Notes/Emerging Questions</w:t>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0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color w:val="990000"/>
              </w:rPr>
            </w:pPr>
            <w:r w:rsidDel="00000000" w:rsidR="00000000" w:rsidRPr="00000000">
              <w:rPr>
                <w:rFonts w:ascii="Calibri" w:cs="Calibri" w:eastAsia="Calibri" w:hAnsi="Calibri"/>
                <w:b w:val="1"/>
                <w:bCs w:val="1"/>
                <w:color w:val="990000"/>
                <w:rtl w:val="0"/>
              </w:rPr>
              <w:t xml:space="preserve">Source 1</w:t>
            </w:r>
          </w:p>
        </w:tc>
        <w:tc>
          <w:tcPr>
            <w:shd w:fill="auto" w:val="clear"/>
            <w:tcMar>
              <w:top w:w="100.0" w:type="dxa"/>
              <w:left w:w="100.0" w:type="dxa"/>
              <w:bottom w:w="100.0" w:type="dxa"/>
              <w:right w:w="100.0" w:type="dxa"/>
            </w:tcMar>
            <w:vAlign w:val="top"/>
          </w:tcPr>
          <w:p w:rsidR="00000000" w:rsidDel="00000000" w:rsidP="00000000" w:rsidRDefault="00000000" w:rsidRPr="00000000" w14:paraId="0000000E">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USA Facts:  </w:t>
            </w:r>
            <w:hyperlink r:id="rId6">
              <w:r w:rsidDel="00000000" w:rsidR="00000000" w:rsidRPr="00000000">
                <w:rPr>
                  <w:rFonts w:ascii="Calibri" w:cs="Calibri" w:eastAsia="Calibri" w:hAnsi="Calibri"/>
                  <w:color w:val="1155cc"/>
                  <w:u w:val="single"/>
                  <w:rtl w:val="0"/>
                </w:rPr>
                <w:t xml:space="preserve">How do voting laws differ state by state?</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0F">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0">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1">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2">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3">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4">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r>
        <w:trPr>
          <w:cantSplit w:val="0"/>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15">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b w:val="1"/>
                <w:bCs w:val="1"/>
                <w:color w:val="990000"/>
              </w:rPr>
            </w:pPr>
            <w:r w:rsidDel="00000000" w:rsidR="00000000" w:rsidRPr="00000000">
              <w:rPr>
                <w:rFonts w:ascii="Calibri" w:cs="Calibri" w:eastAsia="Calibri" w:hAnsi="Calibri"/>
                <w:b w:val="1"/>
                <w:bCs w:val="1"/>
                <w:color w:val="990000"/>
                <w:rtl w:val="0"/>
              </w:rPr>
              <w:t xml:space="preserve">Source 2</w:t>
            </w:r>
          </w:p>
        </w:tc>
        <w:tc>
          <w:tcPr>
            <w:shd w:fill="auto" w:val="clear"/>
            <w:tcMar>
              <w:top w:w="100.0" w:type="dxa"/>
              <w:left w:w="100.0" w:type="dxa"/>
              <w:bottom w:w="100.0" w:type="dxa"/>
              <w:right w:w="100.0" w:type="dxa"/>
            </w:tcMar>
            <w:vAlign w:val="top"/>
          </w:tcPr>
          <w:p w:rsidR="00000000" w:rsidDel="00000000" w:rsidP="00000000" w:rsidRDefault="00000000" w:rsidRPr="00000000" w14:paraId="00000016">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hyperlink r:id="rId7">
              <w:r w:rsidDel="00000000" w:rsidR="00000000" w:rsidRPr="00000000">
                <w:rPr>
                  <w:rFonts w:ascii="Calibri" w:cs="Calibri" w:eastAsia="Calibri" w:hAnsi="Calibri"/>
                  <w:color w:val="1155cc"/>
                  <w:u w:val="single"/>
                  <w:rtl w:val="0"/>
                </w:rPr>
                <w:t xml:space="preserve">National Constitution Center</w:t>
              </w:r>
            </w:hyperlink>
            <w:r w:rsidDel="00000000" w:rsidR="00000000" w:rsidRPr="00000000">
              <w:rPr>
                <w:rtl w:val="0"/>
              </w:rPr>
            </w:r>
          </w:p>
          <w:p w:rsidR="00000000" w:rsidDel="00000000" w:rsidP="00000000" w:rsidRDefault="00000000" w:rsidRPr="00000000" w14:paraId="00000017">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Constitution Daily Blog by Lyle Denniston</w:t>
            </w:r>
          </w:p>
          <w:p w:rsidR="00000000" w:rsidDel="00000000" w:rsidP="00000000" w:rsidRDefault="00000000" w:rsidRPr="00000000" w14:paraId="00000018">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Fonts w:ascii="Calibri" w:cs="Calibri" w:eastAsia="Calibri" w:hAnsi="Calibri"/>
                <w:rtl w:val="0"/>
              </w:rPr>
              <w:t xml:space="preserve">August 28, 2014</w:t>
            </w:r>
          </w:p>
          <w:p w:rsidR="00000000" w:rsidDel="00000000" w:rsidP="00000000" w:rsidRDefault="00000000" w:rsidRPr="00000000" w14:paraId="00000019">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1A">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THE STATEMENT AT ISSUE:</w:t>
            </w:r>
          </w:p>
          <w:p w:rsidR="00000000" w:rsidDel="00000000" w:rsidP="00000000" w:rsidRDefault="00000000" w:rsidRPr="00000000" w14:paraId="0000001B">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“The constitutional rights, powers, and privileges of establishing voter qualifications, including voter registration requirements, are incidents of state sovereignty protected by Article I, Section 2 of the Constitution, the Tenth Amendment, and the Seventeenth Amendment. This power includes the power to obtain information the states deem necessary to assess eligibility or voter registration applicants, and to enforce voter qualifications. A mere oath without concrete evidence of citizenship…does not suffice.”</w:t>
            </w:r>
          </w:p>
          <w:p w:rsidR="00000000" w:rsidDel="00000000" w:rsidP="00000000" w:rsidRDefault="00000000" w:rsidRPr="00000000" w14:paraId="0000001C">
            <w:pPr>
              <w:widowControl w:val="0"/>
              <w:shd w:fill="ffffff" w:val="clear"/>
              <w:spacing w:after="240" w:line="240" w:lineRule="auto"/>
              <w:rPr>
                <w:rFonts w:ascii="Calibri" w:cs="Calibri" w:eastAsia="Calibri" w:hAnsi="Calibri"/>
                <w:i w:val="1"/>
                <w:iCs w:val="1"/>
              </w:rPr>
            </w:pPr>
            <w:r w:rsidDel="00000000" w:rsidR="00000000" w:rsidRPr="00000000">
              <w:rPr>
                <w:rFonts w:ascii="Calibri" w:cs="Calibri" w:eastAsia="Calibri" w:hAnsi="Calibri"/>
                <w:i w:val="1"/>
                <w:iCs w:val="1"/>
                <w:rtl w:val="0"/>
              </w:rPr>
              <w:t xml:space="preserve">– Excerpt from a lawsuit, now making its way through federal courts, by the states of Arizona and Kansas, seeking to force a federal agency to include a proof-of-citizenship requirement on federal forms for registering voters under a 1993 federal law. The lawsuit came up for a hearing last Monday in a federal appeals court in Denver, so is now awaiting a decision.</w:t>
            </w:r>
          </w:p>
          <w:p w:rsidR="00000000" w:rsidDel="00000000" w:rsidP="00000000" w:rsidRDefault="00000000" w:rsidRPr="00000000" w14:paraId="0000001D">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WE CHECKED THE CONSTITUTION, AND…</w:t>
            </w:r>
          </w:p>
          <w:p w:rsidR="00000000" w:rsidDel="00000000" w:rsidP="00000000" w:rsidRDefault="00000000" w:rsidRPr="00000000" w14:paraId="0000001E">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One of the gestures toward states’ rights that the Founders made in writing the Constitution was to give the states a primary role in deciding who gets to vote – not only in state and local elections, but also in federal elections. But, to protect national interests of the new government they were setting up, the Founders also gave Congress a veto power in this area. It has never been quite clear how the two provisions were supposed to work together, instead of in conflict, and that is at the heart of a new controversy over who controls the right to vote.</w:t>
            </w:r>
          </w:p>
          <w:p w:rsidR="00000000" w:rsidDel="00000000" w:rsidP="00000000" w:rsidRDefault="00000000" w:rsidRPr="00000000" w14:paraId="0000001F">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The controversy arises at the intersection of two recent trends in the management of elections. First, a number of states, out of a fear of voter fraud (especially, a suspicion that non-citizens who are illegally in this country are voting), have been imposing tight new ID requirements to ensure that only citizens get to vote. Second, Congress and a federal election management agency have been proceeding, under a 1993 law, to try to ensure that barriers to registration are eased so that more people get to go to the polls.</w:t>
            </w:r>
          </w:p>
          <w:p w:rsidR="00000000" w:rsidDel="00000000" w:rsidP="00000000" w:rsidRDefault="00000000" w:rsidRPr="00000000" w14:paraId="00000020">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Those contrasting trends have been made more difficult to sort out, as a constitutional matter, because the Supreme Court in a major ruling last year gave guidance that points in two directions: buttressing federal power to try to make registration requirements uniform, but virtually inviting states to sue to try to get their way in enforcing their own registration rules.</w:t>
            </w:r>
          </w:p>
          <w:p w:rsidR="00000000" w:rsidDel="00000000" w:rsidP="00000000" w:rsidRDefault="00000000" w:rsidRPr="00000000" w14:paraId="00000021">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The Court’s decision in mid-June 2013 in </w:t>
            </w:r>
            <w:r w:rsidDel="00000000" w:rsidR="00000000" w:rsidRPr="00000000">
              <w:rPr>
                <w:rFonts w:ascii="Calibri" w:cs="Calibri" w:eastAsia="Calibri" w:hAnsi="Calibri"/>
                <w:i w:val="1"/>
                <w:iCs w:val="1"/>
                <w:rtl w:val="0"/>
              </w:rPr>
              <w:t xml:space="preserve">Arizona v. Inter Tribal Council of Arizona</w:t>
            </w:r>
            <w:r w:rsidDel="00000000" w:rsidR="00000000" w:rsidRPr="00000000">
              <w:rPr>
                <w:rFonts w:ascii="Calibri" w:cs="Calibri" w:eastAsia="Calibri" w:hAnsi="Calibri"/>
                <w:rtl w:val="0"/>
              </w:rPr>
              <w:t xml:space="preserve"> was supposed to clarify the competing national and state roles, under the National Voter Registration Act of 1993 and also under the Constitution. That case arose because the voters of Arizona in 2004 had passed so-called “Proposition 200” saying that, because “illegal immigrants have been given a safe haven in this state” and were attempting to vote, it was necessary to impose a requirement to show an official ID in order to be registered to vote.</w:t>
            </w:r>
          </w:p>
          <w:p w:rsidR="00000000" w:rsidDel="00000000" w:rsidP="00000000" w:rsidRDefault="00000000" w:rsidRPr="00000000" w14:paraId="00000022">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Arizona, later joined by Kansas, began asking the agency set up by Congress to carry out the National Voter Registration Act (the Election Assistance Commission) to add that ID requirement to the federal voter registration form that Congress had mandated, at least for federal elections. The federal form is a key document, because no state wants to conduct federal and state elections separately, under different registration systems.</w:t>
            </w:r>
          </w:p>
          <w:p w:rsidR="00000000" w:rsidDel="00000000" w:rsidP="00000000" w:rsidRDefault="00000000" w:rsidRPr="00000000" w14:paraId="00000023">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The federal Commission resisted the requests, concluding that the form was sufficient as is – that is, requiring an applicant seeking to register to simply swear, on the form, that they are a citizen. (In passing the 1993 Act, Congress had considered, but rejected, a proposal to add a voter ID requirement to the conditions for registering to vote in federal elections.)</w:t>
            </w:r>
          </w:p>
          <w:p w:rsidR="00000000" w:rsidDel="00000000" w:rsidP="00000000" w:rsidRDefault="00000000" w:rsidRPr="00000000" w14:paraId="00000024">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Challengers to the Arizona demand sued, contending that states were obliged to use the federal form – at least for federal elections – without adding a requirement of documentary proof of citizenship, a requirement that the challengers argued has the effect of discouraging voting. It was that challenge that the Supreme Court had agreed to settle in the </w:t>
            </w:r>
            <w:r w:rsidDel="00000000" w:rsidR="00000000" w:rsidRPr="00000000">
              <w:rPr>
                <w:rFonts w:ascii="Calibri" w:cs="Calibri" w:eastAsia="Calibri" w:hAnsi="Calibri"/>
                <w:i w:val="1"/>
                <w:iCs w:val="1"/>
                <w:rtl w:val="0"/>
              </w:rPr>
              <w:t xml:space="preserve">Inter Tribal Council</w:t>
            </w:r>
            <w:r w:rsidDel="00000000" w:rsidR="00000000" w:rsidRPr="00000000">
              <w:rPr>
                <w:rFonts w:ascii="Calibri" w:cs="Calibri" w:eastAsia="Calibri" w:hAnsi="Calibri"/>
                <w:rtl w:val="0"/>
              </w:rPr>
              <w:t xml:space="preserve"> case.</w:t>
            </w:r>
          </w:p>
          <w:p w:rsidR="00000000" w:rsidDel="00000000" w:rsidP="00000000" w:rsidRDefault="00000000" w:rsidRPr="00000000" w14:paraId="00000025">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Addressing the two provisions in the Constitution, the Court first appeared to lay down a very broad rule on when state election law requirements had to yield to those enacted by Congress. The Court’s main opinion seemed to say that states do not get the benefit of the doubt when they pass election laws that appear to be, or are, different from what Congress had enacted.</w:t>
            </w:r>
          </w:p>
          <w:p w:rsidR="00000000" w:rsidDel="00000000" w:rsidP="00000000" w:rsidRDefault="00000000" w:rsidRPr="00000000" w14:paraId="00000026">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But that decision went beyond that initial point, adding that states do have the primary role in deciding who gets to vote, and that states wishing to enforce a voter ID requirement for registration were free to ask the federal Commission to tack that onto the federal form. And, it added, if the federal agency resists, the states have a constitutional right to sue to obtain the clear authority to enforce their own voter registration requirement – that is, in this instance, the proof of citizenship mandate.</w:t>
            </w:r>
          </w:p>
          <w:p w:rsidR="00000000" w:rsidDel="00000000" w:rsidP="00000000" w:rsidRDefault="00000000" w:rsidRPr="00000000" w14:paraId="00000027">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Arizona and Kansas then went back to the federal Commission with that very request, and that agency continued to resist. States, it said, cannot compel that agency to change its form in a way that the agency itself does not think is necessary to carry out state registration rules. The federal form, it noted, has an oath requirement, and that is enough.</w:t>
            </w:r>
          </w:p>
          <w:p w:rsidR="00000000" w:rsidDel="00000000" w:rsidP="00000000" w:rsidRDefault="00000000" w:rsidRPr="00000000" w14:paraId="00000028">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The two states then sued, as the Supreme Court had clearly seemed to suggest that they do, and the case has been unfolding in federal courts over the past year. So far, the states are winning. A federal judge in Wichita ruled in March that it was not necessary to clear up the competing constitutional arguments about who – the national government or the states – has the power to control who may register to vote. Instead, the judge ruled that the 1993 law, by its own terms, requires the federal Commission to grant state requests to add to its form the specific requirements that a state says are necessary in order to implement those requirements.</w:t>
            </w:r>
          </w:p>
          <w:p w:rsidR="00000000" w:rsidDel="00000000" w:rsidP="00000000" w:rsidRDefault="00000000" w:rsidRPr="00000000" w14:paraId="00000029">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The Commission and a number of advocacy groups supporting it have now taken the case on to the Tenth U.S. Circuit Court of Appeals. If that court agrees with the federal trial judge that the issue is settled by the terms of the 1993 law, the constitutional dispute will drop out of the case – at least until the issue moved on to the Supreme Court.</w:t>
            </w:r>
          </w:p>
          <w:p w:rsidR="00000000" w:rsidDel="00000000" w:rsidP="00000000" w:rsidRDefault="00000000" w:rsidRPr="00000000" w14:paraId="0000002A">
            <w:pPr>
              <w:widowControl w:val="0"/>
              <w:shd w:fill="ffffff" w:val="clear"/>
              <w:spacing w:after="240" w:line="240" w:lineRule="auto"/>
              <w:rPr>
                <w:rFonts w:ascii="Calibri" w:cs="Calibri" w:eastAsia="Calibri" w:hAnsi="Calibri"/>
              </w:rPr>
            </w:pPr>
            <w:r w:rsidDel="00000000" w:rsidR="00000000" w:rsidRPr="00000000">
              <w:rPr>
                <w:rFonts w:ascii="Calibri" w:cs="Calibri" w:eastAsia="Calibri" w:hAnsi="Calibri"/>
                <w:rtl w:val="0"/>
              </w:rPr>
              <w:t xml:space="preserve">But if the appeals court concludes that the federal law does not settle the issue, it then may have to try its hand at sorting out how the two provisions of the Constitution are supposed to work. That would be a challenging task, on its own, but a task made even more difficult by the uncertain signals the Supreme Court sent when it made its effort to sort out the controversy. There is thus much more to come in this potential reopening of questions about what the Founders intended.</w:t>
            </w:r>
          </w:p>
          <w:p w:rsidR="00000000" w:rsidDel="00000000" w:rsidP="00000000" w:rsidRDefault="00000000" w:rsidRPr="00000000" w14:paraId="0000002B">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p w:rsidR="00000000" w:rsidDel="00000000" w:rsidP="00000000" w:rsidRDefault="00000000" w:rsidRPr="00000000" w14:paraId="0000002C">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2D">
            <w:pPr>
              <w:keepNext w:val="0"/>
              <w:keepLines w:val="0"/>
              <w:pageBreakBefore w:val="0"/>
              <w:widowControl w:val="0"/>
              <w:pBdr>
                <w:top w:space="0" w:sz="0" w:val="nil"/>
                <w:left w:space="0" w:sz="0" w:val="nil"/>
                <w:bottom w:space="0" w:sz="0" w:val="nil"/>
                <w:right w:space="0" w:sz="0" w:val="nil"/>
                <w:between w:space="0" w:sz="0" w:val="nil"/>
              </w:pBdr>
              <w:shd w:fill="auto" w:val="clear"/>
              <w:spacing w:after="0" w:before="0" w:line="240" w:lineRule="auto"/>
              <w:ind w:left="0" w:right="0" w:firstLine="0"/>
              <w:jc w:val="left"/>
              <w:rPr>
                <w:rFonts w:ascii="Calibri" w:cs="Calibri" w:eastAsia="Calibri" w:hAnsi="Calibri"/>
              </w:rPr>
            </w:pPr>
            <w:r w:rsidDel="00000000" w:rsidR="00000000" w:rsidRPr="00000000">
              <w:rPr>
                <w:rtl w:val="0"/>
              </w:rPr>
            </w:r>
          </w:p>
        </w:tc>
      </w:tr>
    </w:tbl>
    <w:p w:rsidR="00000000" w:rsidDel="00000000" w:rsidP="00000000" w:rsidRDefault="00000000" w:rsidRPr="00000000" w14:paraId="0000002E">
      <w:pPr>
        <w:rPr>
          <w:rFonts w:ascii="Calibri" w:cs="Calibri" w:eastAsia="Calibri" w:hAnsi="Calibri"/>
        </w:rPr>
      </w:pPr>
      <w:r w:rsidDel="00000000" w:rsidR="00000000" w:rsidRPr="00000000">
        <w:rPr>
          <w:rtl w:val="0"/>
        </w:rPr>
      </w:r>
    </w:p>
    <w:p w:rsidR="00000000" w:rsidDel="00000000" w:rsidP="00000000" w:rsidRDefault="00000000" w:rsidRPr="00000000" w14:paraId="0000002F">
      <w:pPr>
        <w:rPr>
          <w:rFonts w:ascii="Calibri" w:cs="Calibri" w:eastAsia="Calibri" w:hAnsi="Calibri"/>
        </w:rPr>
      </w:pPr>
      <w:r w:rsidDel="00000000" w:rsidR="00000000" w:rsidRPr="00000000">
        <w:rPr>
          <w:rtl w:val="0"/>
        </w:rPr>
      </w:r>
    </w:p>
    <w:p w:rsidR="00000000" w:rsidDel="00000000" w:rsidP="00000000" w:rsidRDefault="00000000" w:rsidRPr="00000000" w14:paraId="00000030">
      <w:pPr>
        <w:rPr>
          <w:rFonts w:ascii="Calibri" w:cs="Calibri" w:eastAsia="Calibri" w:hAnsi="Calibri"/>
        </w:rPr>
      </w:pPr>
      <w:r w:rsidDel="00000000" w:rsidR="00000000" w:rsidRPr="00000000">
        <w:rPr>
          <w:rtl w:val="0"/>
        </w:rPr>
      </w:r>
    </w:p>
    <w:p w:rsidR="00000000" w:rsidDel="00000000" w:rsidP="00000000" w:rsidRDefault="00000000" w:rsidRPr="00000000" w14:paraId="00000031">
      <w:pPr>
        <w:rPr>
          <w:rFonts w:ascii="Calibri" w:cs="Calibri" w:eastAsia="Calibri" w:hAnsi="Calibri"/>
        </w:rPr>
      </w:pPr>
      <w:r w:rsidDel="00000000" w:rsidR="00000000" w:rsidRPr="00000000">
        <w:rPr>
          <w:rtl w:val="0"/>
        </w:rPr>
      </w:r>
    </w:p>
    <w:p w:rsidR="00000000" w:rsidDel="00000000" w:rsidP="00000000" w:rsidRDefault="00000000" w:rsidRPr="00000000" w14:paraId="00000032">
      <w:pPr>
        <w:rPr>
          <w:rFonts w:ascii="Calibri" w:cs="Calibri" w:eastAsia="Calibri" w:hAnsi="Calibri"/>
        </w:rPr>
      </w:pPr>
      <w:r w:rsidDel="00000000" w:rsidR="00000000" w:rsidRPr="00000000">
        <w:rPr>
          <w:rtl w:val="0"/>
        </w:rPr>
      </w:r>
    </w:p>
    <w:p w:rsidR="00000000" w:rsidDel="00000000" w:rsidP="00000000" w:rsidRDefault="00000000" w:rsidRPr="00000000" w14:paraId="00000033">
      <w:pPr>
        <w:rPr>
          <w:rFonts w:ascii="Calibri" w:cs="Calibri" w:eastAsia="Calibri" w:hAnsi="Calibri"/>
        </w:rPr>
      </w:pPr>
      <w:r w:rsidDel="00000000" w:rsidR="00000000" w:rsidRPr="00000000">
        <w:rPr>
          <w:rtl w:val="0"/>
        </w:rPr>
      </w:r>
    </w:p>
    <w:p w:rsidR="00000000" w:rsidDel="00000000" w:rsidP="00000000" w:rsidRDefault="00000000" w:rsidRPr="00000000" w14:paraId="00000034">
      <w:pPr>
        <w:rPr>
          <w:rFonts w:ascii="Calibri" w:cs="Calibri" w:eastAsia="Calibri" w:hAnsi="Calibri"/>
        </w:rPr>
      </w:pPr>
      <w:r w:rsidDel="00000000" w:rsidR="00000000" w:rsidRPr="00000000">
        <w:rPr>
          <w:rtl w:val="0"/>
        </w:rPr>
      </w:r>
    </w:p>
    <w:p w:rsidR="00000000" w:rsidDel="00000000" w:rsidP="00000000" w:rsidRDefault="00000000" w:rsidRPr="00000000" w14:paraId="00000035">
      <w:pPr>
        <w:rPr>
          <w:rFonts w:ascii="Calibri" w:cs="Calibri" w:eastAsia="Calibri" w:hAnsi="Calibri"/>
        </w:rPr>
      </w:pPr>
      <w:r w:rsidDel="00000000" w:rsidR="00000000" w:rsidRPr="00000000">
        <w:rPr>
          <w:rtl w:val="0"/>
        </w:rPr>
      </w:r>
    </w:p>
    <w:p w:rsidR="00000000" w:rsidDel="00000000" w:rsidP="00000000" w:rsidRDefault="00000000" w:rsidRPr="00000000" w14:paraId="00000036">
      <w:pPr>
        <w:rPr>
          <w:rFonts w:ascii="Calibri" w:cs="Calibri" w:eastAsia="Calibri" w:hAnsi="Calibri"/>
        </w:rPr>
      </w:pPr>
      <w:r w:rsidDel="00000000" w:rsidR="00000000" w:rsidRPr="00000000">
        <w:rPr>
          <w:rtl w:val="0"/>
        </w:rPr>
      </w:r>
    </w:p>
    <w:p w:rsidR="00000000" w:rsidDel="00000000" w:rsidP="00000000" w:rsidRDefault="00000000" w:rsidRPr="00000000" w14:paraId="00000037">
      <w:pPr>
        <w:rPr>
          <w:rFonts w:ascii="Calibri" w:cs="Calibri" w:eastAsia="Calibri" w:hAnsi="Calibri"/>
        </w:rPr>
      </w:pPr>
      <w:r w:rsidDel="00000000" w:rsidR="00000000" w:rsidRPr="00000000">
        <w:rPr>
          <w:rtl w:val="0"/>
        </w:rPr>
      </w:r>
    </w:p>
    <w:p w:rsidR="00000000" w:rsidDel="00000000" w:rsidP="00000000" w:rsidRDefault="00000000" w:rsidRPr="00000000" w14:paraId="00000038">
      <w:pPr>
        <w:rPr>
          <w:rFonts w:ascii="Calibri" w:cs="Calibri" w:eastAsia="Calibri" w:hAnsi="Calibri"/>
        </w:rPr>
      </w:pPr>
      <w:r w:rsidDel="00000000" w:rsidR="00000000" w:rsidRPr="00000000">
        <w:rPr>
          <w:rtl w:val="0"/>
        </w:rPr>
      </w:r>
    </w:p>
    <w:p w:rsidR="00000000" w:rsidDel="00000000" w:rsidP="00000000" w:rsidRDefault="00000000" w:rsidRPr="00000000" w14:paraId="00000039">
      <w:pPr>
        <w:rPr>
          <w:rFonts w:ascii="Calibri" w:cs="Calibri" w:eastAsia="Calibri" w:hAnsi="Calibri"/>
        </w:rPr>
      </w:pPr>
      <w:r w:rsidDel="00000000" w:rsidR="00000000" w:rsidRPr="00000000">
        <w:rPr>
          <w:rtl w:val="0"/>
        </w:rPr>
      </w:r>
    </w:p>
    <w:p w:rsidR="00000000" w:rsidDel="00000000" w:rsidP="00000000" w:rsidRDefault="00000000" w:rsidRPr="00000000" w14:paraId="0000003A">
      <w:pPr>
        <w:rPr>
          <w:rFonts w:ascii="Calibri" w:cs="Calibri" w:eastAsia="Calibri" w:hAnsi="Calibri"/>
        </w:rPr>
      </w:pPr>
      <w:r w:rsidDel="00000000" w:rsidR="00000000" w:rsidRPr="00000000">
        <w:rPr>
          <w:rtl w:val="0"/>
        </w:rPr>
      </w:r>
    </w:p>
    <w:p w:rsidR="00000000" w:rsidDel="00000000" w:rsidP="00000000" w:rsidRDefault="00000000" w:rsidRPr="00000000" w14:paraId="0000003B">
      <w:pPr>
        <w:rPr>
          <w:rFonts w:ascii="Calibri" w:cs="Calibri" w:eastAsia="Calibri" w:hAnsi="Calibri"/>
        </w:rPr>
      </w:pPr>
      <w:r w:rsidDel="00000000" w:rsidR="00000000" w:rsidRPr="00000000">
        <w:rPr>
          <w:rtl w:val="0"/>
        </w:rPr>
      </w:r>
    </w:p>
    <w:p w:rsidR="00000000" w:rsidDel="00000000" w:rsidP="00000000" w:rsidRDefault="00000000" w:rsidRPr="00000000" w14:paraId="0000003C">
      <w:pPr>
        <w:rPr>
          <w:rFonts w:ascii="Calibri" w:cs="Calibri" w:eastAsia="Calibri" w:hAnsi="Calibri"/>
        </w:rPr>
      </w:pPr>
      <w:r w:rsidDel="00000000" w:rsidR="00000000" w:rsidRPr="00000000">
        <w:rPr>
          <w:rtl w:val="0"/>
        </w:rPr>
      </w:r>
    </w:p>
    <w:p w:rsidR="00000000" w:rsidDel="00000000" w:rsidP="00000000" w:rsidRDefault="00000000" w:rsidRPr="00000000" w14:paraId="0000003D">
      <w:pPr>
        <w:rPr>
          <w:rFonts w:ascii="Calibri" w:cs="Calibri" w:eastAsia="Calibri" w:hAnsi="Calibri"/>
        </w:rPr>
      </w:pPr>
      <w:r w:rsidDel="00000000" w:rsidR="00000000" w:rsidRPr="00000000">
        <w:rPr>
          <w:rtl w:val="0"/>
        </w:rPr>
      </w:r>
    </w:p>
    <w:p w:rsidR="00000000" w:rsidDel="00000000" w:rsidP="00000000" w:rsidRDefault="00000000" w:rsidRPr="00000000" w14:paraId="0000003E">
      <w:pPr>
        <w:rPr>
          <w:rFonts w:ascii="Calibri" w:cs="Calibri" w:eastAsia="Calibri" w:hAnsi="Calibri"/>
        </w:rPr>
      </w:pPr>
      <w:r w:rsidDel="00000000" w:rsidR="00000000" w:rsidRPr="00000000">
        <w:rPr>
          <w:rtl w:val="0"/>
        </w:rPr>
      </w:r>
    </w:p>
    <w:p w:rsidR="00000000" w:rsidDel="00000000" w:rsidP="00000000" w:rsidRDefault="00000000" w:rsidRPr="00000000" w14:paraId="0000003F">
      <w:pPr>
        <w:rPr>
          <w:rFonts w:ascii="Calibri" w:cs="Calibri" w:eastAsia="Calibri" w:hAnsi="Calibri"/>
        </w:rPr>
      </w:pPr>
      <w:r w:rsidDel="00000000" w:rsidR="00000000" w:rsidRPr="00000000">
        <w:rPr>
          <w:rtl w:val="0"/>
        </w:rPr>
      </w:r>
    </w:p>
    <w:p w:rsidR="00000000" w:rsidDel="00000000" w:rsidP="00000000" w:rsidRDefault="00000000" w:rsidRPr="00000000" w14:paraId="00000040">
      <w:pPr>
        <w:rPr>
          <w:rFonts w:ascii="Calibri" w:cs="Calibri" w:eastAsia="Calibri" w:hAnsi="Calibri"/>
        </w:rPr>
      </w:pPr>
      <w:r w:rsidDel="00000000" w:rsidR="00000000" w:rsidRPr="00000000">
        <w:rPr>
          <w:rtl w:val="0"/>
        </w:rPr>
      </w:r>
    </w:p>
    <w:p w:rsidR="00000000" w:rsidDel="00000000" w:rsidP="00000000" w:rsidRDefault="00000000" w:rsidRPr="00000000" w14:paraId="00000041">
      <w:pPr>
        <w:rPr>
          <w:rFonts w:ascii="Calibri" w:cs="Calibri" w:eastAsia="Calibri" w:hAnsi="Calibri"/>
        </w:rPr>
      </w:pPr>
      <w:r w:rsidDel="00000000" w:rsidR="00000000" w:rsidRPr="00000000">
        <w:rPr>
          <w:rtl w:val="0"/>
        </w:rPr>
      </w:r>
    </w:p>
    <w:p w:rsidR="00000000" w:rsidDel="00000000" w:rsidP="00000000" w:rsidRDefault="00000000" w:rsidRPr="00000000" w14:paraId="00000042">
      <w:pPr>
        <w:rPr>
          <w:rFonts w:ascii="Calibri" w:cs="Calibri" w:eastAsia="Calibri" w:hAnsi="Calibri"/>
        </w:rPr>
      </w:pPr>
      <w:r w:rsidDel="00000000" w:rsidR="00000000" w:rsidRPr="00000000">
        <w:rPr>
          <w:rtl w:val="0"/>
        </w:rPr>
      </w:r>
    </w:p>
    <w:p w:rsidR="00000000" w:rsidDel="00000000" w:rsidP="00000000" w:rsidRDefault="00000000" w:rsidRPr="00000000" w14:paraId="00000043">
      <w:pPr>
        <w:rPr>
          <w:rFonts w:ascii="Calibri" w:cs="Calibri" w:eastAsia="Calibri" w:hAnsi="Calibri"/>
        </w:rPr>
      </w:pPr>
      <w:r w:rsidDel="00000000" w:rsidR="00000000" w:rsidRPr="00000000">
        <w:rPr>
          <w:rtl w:val="0"/>
        </w:rPr>
      </w:r>
    </w:p>
    <w:p w:rsidR="00000000" w:rsidDel="00000000" w:rsidP="00000000" w:rsidRDefault="00000000" w:rsidRPr="00000000" w14:paraId="00000044">
      <w:pPr>
        <w:rPr>
          <w:rFonts w:ascii="Calibri" w:cs="Calibri" w:eastAsia="Calibri" w:hAnsi="Calibri"/>
        </w:rPr>
      </w:pPr>
      <w:r w:rsidDel="00000000" w:rsidR="00000000" w:rsidRPr="00000000">
        <w:rPr>
          <w:rtl w:val="0"/>
        </w:rPr>
      </w:r>
    </w:p>
    <w:p w:rsidR="00000000" w:rsidDel="00000000" w:rsidP="00000000" w:rsidRDefault="00000000" w:rsidRPr="00000000" w14:paraId="00000045">
      <w:pPr>
        <w:rPr>
          <w:rFonts w:ascii="Calibri" w:cs="Calibri" w:eastAsia="Calibri" w:hAnsi="Calibri"/>
        </w:rPr>
      </w:pPr>
      <w:r w:rsidDel="00000000" w:rsidR="00000000" w:rsidRPr="00000000">
        <w:rPr>
          <w:rtl w:val="0"/>
        </w:rPr>
      </w:r>
    </w:p>
    <w:p w:rsidR="00000000" w:rsidDel="00000000" w:rsidP="00000000" w:rsidRDefault="00000000" w:rsidRPr="00000000" w14:paraId="00000046">
      <w:pPr>
        <w:rPr>
          <w:rFonts w:ascii="Calibri" w:cs="Calibri" w:eastAsia="Calibri" w:hAnsi="Calibri"/>
        </w:rPr>
      </w:pPr>
      <w:r w:rsidDel="00000000" w:rsidR="00000000" w:rsidRPr="00000000">
        <w:rPr>
          <w:rtl w:val="0"/>
        </w:rPr>
      </w:r>
    </w:p>
    <w:p w:rsidR="00000000" w:rsidDel="00000000" w:rsidP="00000000" w:rsidRDefault="00000000" w:rsidRPr="00000000" w14:paraId="00000047">
      <w:pPr>
        <w:rPr>
          <w:rFonts w:ascii="Calibri" w:cs="Calibri" w:eastAsia="Calibri" w:hAnsi="Calibri"/>
        </w:rPr>
      </w:pPr>
      <w:r w:rsidDel="00000000" w:rsidR="00000000" w:rsidRPr="00000000">
        <w:rPr>
          <w:rtl w:val="0"/>
        </w:rPr>
      </w:r>
    </w:p>
    <w:tbl>
      <w:tblPr>
        <w:tblStyle w:val="Table3"/>
        <w:tblW w:w="9345.0" w:type="dxa"/>
        <w:jc w:val="left"/>
        <w:tblBorders>
          <w:top w:color="000000" w:space="0" w:sz="8" w:val="single"/>
          <w:left w:color="000000" w:space="0" w:sz="8" w:val="single"/>
          <w:bottom w:color="000000" w:space="0" w:sz="8" w:val="single"/>
          <w:right w:color="000000" w:space="0" w:sz="8" w:val="single"/>
          <w:insideH w:color="000000" w:space="0" w:sz="8" w:val="single"/>
          <w:insideV w:color="000000" w:space="0" w:sz="8" w:val="single"/>
        </w:tblBorders>
        <w:tblLayout w:type="fixed"/>
        <w:tblLook w:val="0600"/>
      </w:tblPr>
      <w:tblGrid>
        <w:gridCol w:w="1140"/>
        <w:gridCol w:w="3045"/>
        <w:gridCol w:w="2940"/>
        <w:gridCol w:w="2220"/>
        <w:tblGridChange w:id="0">
          <w:tblGrid>
            <w:gridCol w:w="1140"/>
            <w:gridCol w:w="3045"/>
            <w:gridCol w:w="2940"/>
            <w:gridCol w:w="2220"/>
          </w:tblGrid>
        </w:tblGridChange>
      </w:tblGrid>
      <w:tr>
        <w:trPr>
          <w:cantSplit w:val="0"/>
          <w:trHeight w:val="420" w:hRule="atLeast"/>
          <w:tblHeader w:val="0"/>
        </w:trPr>
        <w:tc>
          <w:tcPr>
            <w:shd w:fill="efefef" w:val="clear"/>
            <w:tcMar>
              <w:top w:w="100.0" w:type="dxa"/>
              <w:left w:w="100.0" w:type="dxa"/>
              <w:bottom w:w="100.0" w:type="dxa"/>
              <w:right w:w="100.0" w:type="dxa"/>
            </w:tcMar>
            <w:vAlign w:val="top"/>
          </w:tcPr>
          <w:p w:rsidR="00000000" w:rsidDel="00000000" w:rsidP="00000000" w:rsidRDefault="00000000" w:rsidRPr="00000000" w14:paraId="00000048">
            <w:pPr>
              <w:widowControl w:val="0"/>
              <w:spacing w:line="240" w:lineRule="auto"/>
              <w:rPr>
                <w:rFonts w:ascii="Calibri" w:cs="Calibri" w:eastAsia="Calibri" w:hAnsi="Calibri"/>
                <w:b w:val="1"/>
                <w:bCs w:val="1"/>
                <w:color w:val="073763"/>
              </w:rPr>
            </w:pPr>
            <w:r w:rsidDel="00000000" w:rsidR="00000000" w:rsidRPr="00000000">
              <w:rPr>
                <w:rFonts w:ascii="Calibri" w:cs="Calibri" w:eastAsia="Calibri" w:hAnsi="Calibri"/>
                <w:b w:val="1"/>
                <w:bCs w:val="1"/>
                <w:color w:val="073763"/>
                <w:rtl w:val="0"/>
              </w:rPr>
              <w:t xml:space="preserve">Topic 2</w:t>
            </w:r>
          </w:p>
        </w:tc>
        <w:tc>
          <w:tcPr>
            <w:gridSpan w:val="2"/>
            <w:shd w:fill="efefef" w:val="clear"/>
            <w:tcMar>
              <w:top w:w="100.0" w:type="dxa"/>
              <w:left w:w="100.0" w:type="dxa"/>
              <w:bottom w:w="100.0" w:type="dxa"/>
              <w:right w:w="100.0" w:type="dxa"/>
            </w:tcMar>
            <w:vAlign w:val="top"/>
          </w:tcPr>
          <w:p w:rsidR="00000000" w:rsidDel="00000000" w:rsidP="00000000" w:rsidRDefault="00000000" w:rsidRPr="00000000" w14:paraId="00000049">
            <w:pPr>
              <w:widowControl w:val="0"/>
              <w:spacing w:line="240" w:lineRule="auto"/>
              <w:rPr>
                <w:rFonts w:ascii="Calibri" w:cs="Calibri" w:eastAsia="Calibri" w:hAnsi="Calibri"/>
                <w:b w:val="1"/>
                <w:bCs w:val="1"/>
                <w:color w:val="073763"/>
              </w:rPr>
            </w:pPr>
            <w:r w:rsidDel="00000000" w:rsidR="00000000" w:rsidRPr="00000000">
              <w:rPr>
                <w:rFonts w:ascii="Calibri" w:cs="Calibri" w:eastAsia="Calibri" w:hAnsi="Calibri"/>
                <w:b w:val="1"/>
                <w:bCs w:val="1"/>
                <w:color w:val="073763"/>
                <w:rtl w:val="0"/>
              </w:rPr>
              <w:t xml:space="preserve">Mail in Voting</w:t>
            </w:r>
          </w:p>
        </w:tc>
        <w:tc>
          <w:tcPr>
            <w:shd w:fill="efefef" w:val="clear"/>
            <w:tcMar>
              <w:top w:w="100.0" w:type="dxa"/>
              <w:left w:w="100.0" w:type="dxa"/>
              <w:bottom w:w="100.0" w:type="dxa"/>
              <w:right w:w="100.0" w:type="dxa"/>
            </w:tcMar>
            <w:vAlign w:val="top"/>
          </w:tcPr>
          <w:p w:rsidR="00000000" w:rsidDel="00000000" w:rsidP="00000000" w:rsidRDefault="00000000" w:rsidRPr="00000000" w14:paraId="0000004B">
            <w:pPr>
              <w:widowControl w:val="0"/>
              <w:spacing w:line="240" w:lineRule="auto"/>
              <w:rPr>
                <w:rFonts w:ascii="Calibri" w:cs="Calibri" w:eastAsia="Calibri" w:hAnsi="Calibri"/>
                <w:b w:val="1"/>
                <w:bCs w:val="1"/>
                <w:color w:val="073763"/>
              </w:rPr>
            </w:pPr>
            <w:r w:rsidDel="00000000" w:rsidR="00000000" w:rsidRPr="00000000">
              <w:rPr>
                <w:rFonts w:ascii="Calibri" w:cs="Calibri" w:eastAsia="Calibri" w:hAnsi="Calibri"/>
                <w:b w:val="1"/>
                <w:bCs w:val="1"/>
                <w:color w:val="073763"/>
                <w:rtl w:val="0"/>
              </w:rPr>
              <w:t xml:space="preserve">Notes/Emerging Questions</w:t>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4C">
            <w:pPr>
              <w:widowControl w:val="0"/>
              <w:spacing w:line="240" w:lineRule="auto"/>
              <w:rPr>
                <w:rFonts w:ascii="Calibri" w:cs="Calibri" w:eastAsia="Calibri" w:hAnsi="Calibri"/>
                <w:b w:val="1"/>
                <w:bCs w:val="1"/>
                <w:color w:val="990000"/>
              </w:rPr>
            </w:pPr>
            <w:r w:rsidDel="00000000" w:rsidR="00000000" w:rsidRPr="00000000">
              <w:rPr>
                <w:rFonts w:ascii="Calibri" w:cs="Calibri" w:eastAsia="Calibri" w:hAnsi="Calibri"/>
                <w:b w:val="1"/>
                <w:bCs w:val="1"/>
                <w:color w:val="990000"/>
                <w:rtl w:val="0"/>
              </w:rPr>
              <w:t xml:space="preserve">Source 1</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4D">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USA Facts:  </w:t>
            </w:r>
            <w:hyperlink r:id="rId8">
              <w:r w:rsidDel="00000000" w:rsidR="00000000" w:rsidRPr="00000000">
                <w:rPr>
                  <w:rFonts w:ascii="Calibri" w:cs="Calibri" w:eastAsia="Calibri" w:hAnsi="Calibri"/>
                  <w:color w:val="1155cc"/>
                  <w:u w:val="single"/>
                  <w:rtl w:val="0"/>
                </w:rPr>
                <w:t xml:space="preserve">How many voters cast ballots early and by mail? </w:t>
              </w:r>
            </w:hyperlink>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4F">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0">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1">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2">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3">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4">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5">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6">
            <w:pPr>
              <w:widowControl w:val="0"/>
              <w:spacing w:line="240" w:lineRule="auto"/>
              <w:rPr>
                <w:rFonts w:ascii="Calibri" w:cs="Calibri" w:eastAsia="Calibri" w:hAnsi="Calibri"/>
              </w:rPr>
            </w:pPr>
            <w:r w:rsidDel="00000000" w:rsidR="00000000" w:rsidRPr="00000000">
              <w:rPr>
                <w:rtl w:val="0"/>
              </w:rPr>
            </w:r>
          </w:p>
        </w:tc>
      </w:tr>
      <w:tr>
        <w:trPr>
          <w:cantSplit w:val="0"/>
          <w:trHeight w:val="420" w:hRule="atLeast"/>
          <w:tblHeader w:val="0"/>
        </w:trPr>
        <w:tc>
          <w:tcPr>
            <w:shd w:fill="auto" w:val="clear"/>
            <w:tcMar>
              <w:top w:w="100.0" w:type="dxa"/>
              <w:left w:w="100.0" w:type="dxa"/>
              <w:bottom w:w="100.0" w:type="dxa"/>
              <w:right w:w="100.0" w:type="dxa"/>
            </w:tcMar>
            <w:vAlign w:val="top"/>
          </w:tcPr>
          <w:p w:rsidR="00000000" w:rsidDel="00000000" w:rsidP="00000000" w:rsidRDefault="00000000" w:rsidRPr="00000000" w14:paraId="00000057">
            <w:pPr>
              <w:widowControl w:val="0"/>
              <w:spacing w:line="240" w:lineRule="auto"/>
              <w:rPr>
                <w:rFonts w:ascii="Calibri" w:cs="Calibri" w:eastAsia="Calibri" w:hAnsi="Calibri"/>
                <w:b w:val="1"/>
                <w:bCs w:val="1"/>
                <w:color w:val="990000"/>
              </w:rPr>
            </w:pPr>
            <w:r w:rsidDel="00000000" w:rsidR="00000000" w:rsidRPr="00000000">
              <w:rPr>
                <w:rFonts w:ascii="Calibri" w:cs="Calibri" w:eastAsia="Calibri" w:hAnsi="Calibri"/>
                <w:b w:val="1"/>
                <w:bCs w:val="1"/>
                <w:color w:val="990000"/>
                <w:rtl w:val="0"/>
              </w:rPr>
              <w:t xml:space="preserve">Source 2</w:t>
            </w:r>
          </w:p>
        </w:tc>
        <w:tc>
          <w:tcPr>
            <w:gridSpan w:val="2"/>
            <w:shd w:fill="auto" w:val="clear"/>
            <w:tcMar>
              <w:top w:w="100.0" w:type="dxa"/>
              <w:left w:w="100.0" w:type="dxa"/>
              <w:bottom w:w="100.0" w:type="dxa"/>
              <w:right w:w="100.0" w:type="dxa"/>
            </w:tcMar>
            <w:vAlign w:val="top"/>
          </w:tcPr>
          <w:p w:rsidR="00000000" w:rsidDel="00000000" w:rsidP="00000000" w:rsidRDefault="00000000" w:rsidRPr="00000000" w14:paraId="00000058">
            <w:pPr>
              <w:widowControl w:val="0"/>
              <w:spacing w:line="240" w:lineRule="auto"/>
              <w:rPr>
                <w:rFonts w:ascii="Calibri" w:cs="Calibri" w:eastAsia="Calibri" w:hAnsi="Calibri"/>
              </w:rPr>
            </w:pPr>
            <w:hyperlink r:id="rId9">
              <w:r w:rsidDel="00000000" w:rsidR="00000000" w:rsidRPr="00000000">
                <w:rPr>
                  <w:rFonts w:ascii="Calibri" w:cs="Calibri" w:eastAsia="Calibri" w:hAnsi="Calibri"/>
                  <w:color w:val="1155cc"/>
                  <w:u w:val="single"/>
                  <w:rtl w:val="0"/>
                </w:rPr>
                <w:t xml:space="preserve">National Constitution Center</w:t>
              </w:r>
            </w:hyperlink>
            <w:r w:rsidDel="00000000" w:rsidR="00000000" w:rsidRPr="00000000">
              <w:rPr>
                <w:rtl w:val="0"/>
              </w:rPr>
            </w:r>
          </w:p>
          <w:p w:rsidR="00000000" w:rsidDel="00000000" w:rsidP="00000000" w:rsidRDefault="00000000" w:rsidRPr="00000000" w14:paraId="00000059">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Constitution Daily Blog by Scott Bomboy</w:t>
            </w:r>
          </w:p>
          <w:p w:rsidR="00000000" w:rsidDel="00000000" w:rsidP="00000000" w:rsidRDefault="00000000" w:rsidRPr="00000000" w14:paraId="0000005A">
            <w:pPr>
              <w:widowControl w:val="0"/>
              <w:spacing w:line="240" w:lineRule="auto"/>
              <w:rPr>
                <w:rFonts w:ascii="Calibri" w:cs="Calibri" w:eastAsia="Calibri" w:hAnsi="Calibri"/>
              </w:rPr>
            </w:pPr>
            <w:r w:rsidDel="00000000" w:rsidR="00000000" w:rsidRPr="00000000">
              <w:rPr>
                <w:rFonts w:ascii="Calibri" w:cs="Calibri" w:eastAsia="Calibri" w:hAnsi="Calibri"/>
                <w:rtl w:val="0"/>
              </w:rPr>
              <w:t xml:space="preserve">March 26, 2026</w:t>
            </w:r>
          </w:p>
          <w:p w:rsidR="00000000" w:rsidDel="00000000" w:rsidP="00000000" w:rsidRDefault="00000000" w:rsidRPr="00000000" w14:paraId="0000005B">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C">
            <w:pPr>
              <w:widowControl w:val="0"/>
              <w:spacing w:line="240" w:lineRule="auto"/>
              <w:rPr>
                <w:rFonts w:ascii="Calibri" w:cs="Calibri" w:eastAsia="Calibri" w:hAnsi="Calibri"/>
              </w:rPr>
            </w:pPr>
            <w:r w:rsidDel="00000000" w:rsidR="00000000" w:rsidRPr="00000000">
              <w:rPr>
                <w:rtl w:val="0"/>
              </w:rPr>
            </w:r>
          </w:p>
          <w:p w:rsidR="00000000" w:rsidDel="00000000" w:rsidP="00000000" w:rsidRDefault="00000000" w:rsidRPr="00000000" w14:paraId="0000005D">
            <w:pPr>
              <w:widowControl w:val="0"/>
              <w:spacing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On March 23, the Supreme Court heard extended arguments in a closely watched case about the ability of states to count late-arriving ballots in the upcoming fall federal elections. The justices’ numerous questions raised constitutional issues and spurred a debate over the meaning of two words: Election Day.</w:t>
            </w:r>
          </w:p>
          <w:p w:rsidR="00000000" w:rsidDel="00000000" w:rsidP="00000000" w:rsidRDefault="00000000" w:rsidRPr="00000000" w14:paraId="0000005E">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5F">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In </w:t>
            </w:r>
            <w:hyperlink r:id="rId10">
              <w:r w:rsidDel="00000000" w:rsidR="00000000" w:rsidRPr="00000000">
                <w:rPr>
                  <w:rFonts w:ascii="Calibri" w:cs="Calibri" w:eastAsia="Calibri" w:hAnsi="Calibri"/>
                  <w:i w:val="1"/>
                  <w:iCs w:val="1"/>
                  <w:highlight w:val="white"/>
                  <w:u w:val="single"/>
                  <w:rtl w:val="0"/>
                </w:rPr>
                <w:t xml:space="preserve">Watson v. Republican National Committee</w:t>
              </w:r>
            </w:hyperlink>
            <w:r w:rsidDel="00000000" w:rsidR="00000000" w:rsidRPr="00000000">
              <w:rPr>
                <w:rFonts w:ascii="Calibri" w:cs="Calibri" w:eastAsia="Calibri" w:hAnsi="Calibri"/>
                <w:highlight w:val="white"/>
                <w:rtl w:val="0"/>
              </w:rPr>
              <w:t xml:space="preserve">, the Republican National Committee (RNC) and others sued Michael Watson in his capacity as Mississippi Secretary of State over a state law that allows Mississippi to count mail-in ballots up to five days after Election Day under certain circumstances.</w:t>
            </w:r>
          </w:p>
          <w:p w:rsidR="00000000" w:rsidDel="00000000" w:rsidP="00000000" w:rsidRDefault="00000000" w:rsidRPr="00000000" w14:paraId="00000060">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RNC believed only federal statutes define the power of Congress to set the date for federal elections and any policy to permit the counting of ballots received after Election Day. The Mississippi state law allowing the counting of late-arriving ballots for up to five days after Election Day, they argued, violated the rights of candidates to stand for office protected by the First and 14th Amendments.</w:t>
            </w:r>
          </w:p>
          <w:p w:rsidR="00000000" w:rsidDel="00000000" w:rsidP="00000000" w:rsidRDefault="00000000" w:rsidRPr="00000000" w14:paraId="00000061">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A federal district court agreed with Watson and the state, deciding there was not a conflict between the Mississippi state law and several federal statutes. However, a three-judge panel of the U.S. Court of Appeals for the Fifth Circuit ruled in favor of the RNC, concluding that federal Election Day “is the day by which ballots must be both cast by voters and received by state officials.” The full Fifth Circuit denied a case rehearing in a 10-5 vote. The Supreme Court accepted the case on Nov. 10, 2025.</w:t>
            </w:r>
          </w:p>
          <w:p w:rsidR="00000000" w:rsidDel="00000000" w:rsidP="00000000" w:rsidRDefault="00000000" w:rsidRPr="00000000" w14:paraId="00000062">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In briefs submitted to the court prior to arguments, the Supreme Court was presented with several issues to consider. The arguments from both sides took into account the Constitution’s </w:t>
            </w:r>
            <w:hyperlink r:id="rId11">
              <w:r w:rsidDel="00000000" w:rsidR="00000000" w:rsidRPr="00000000">
                <w:rPr>
                  <w:rFonts w:ascii="Calibri" w:cs="Calibri" w:eastAsia="Calibri" w:hAnsi="Calibri"/>
                  <w:highlight w:val="white"/>
                  <w:u w:val="single"/>
                  <w:rtl w:val="0"/>
                </w:rPr>
                <w:t xml:space="preserve">Article 1, Section 4, Elections Clause</w:t>
              </w:r>
            </w:hyperlink>
            <w:r w:rsidDel="00000000" w:rsidR="00000000" w:rsidRPr="00000000">
              <w:rPr>
                <w:rFonts w:ascii="Calibri" w:cs="Calibri" w:eastAsia="Calibri" w:hAnsi="Calibri"/>
                <w:highlight w:val="white"/>
                <w:rtl w:val="0"/>
              </w:rPr>
              <w:t xml:space="preserve">, which allows individual states to establish the “Times, Places and Manner of holding Elections for Senators and Representatives.” However, Congress can at “any time by Law make or alter such Regulations.” Congress has passed statutes </w:t>
            </w:r>
            <w:hyperlink r:id="rId12">
              <w:r w:rsidDel="00000000" w:rsidR="00000000" w:rsidRPr="00000000">
                <w:rPr>
                  <w:rFonts w:ascii="Calibri" w:cs="Calibri" w:eastAsia="Calibri" w:hAnsi="Calibri"/>
                  <w:highlight w:val="white"/>
                  <w:u w:val="single"/>
                  <w:rtl w:val="0"/>
                </w:rPr>
                <w:t xml:space="preserve">2 U.S.C. § 7</w:t>
              </w:r>
            </w:hyperlink>
            <w:r w:rsidDel="00000000" w:rsidR="00000000" w:rsidRPr="00000000">
              <w:rPr>
                <w:rFonts w:ascii="Calibri" w:cs="Calibri" w:eastAsia="Calibri" w:hAnsi="Calibri"/>
                <w:highlight w:val="white"/>
                <w:rtl w:val="0"/>
              </w:rPr>
              <w:t xml:space="preserve">, </w:t>
            </w:r>
            <w:hyperlink r:id="rId13">
              <w:r w:rsidDel="00000000" w:rsidR="00000000" w:rsidRPr="00000000">
                <w:rPr>
                  <w:rFonts w:ascii="Calibri" w:cs="Calibri" w:eastAsia="Calibri" w:hAnsi="Calibri"/>
                  <w:highlight w:val="white"/>
                  <w:u w:val="single"/>
                  <w:rtl w:val="0"/>
                </w:rPr>
                <w:t xml:space="preserve">2 U.S.C. § 1</w:t>
              </w:r>
            </w:hyperlink>
            <w:r w:rsidDel="00000000" w:rsidR="00000000" w:rsidRPr="00000000">
              <w:rPr>
                <w:rFonts w:ascii="Calibri" w:cs="Calibri" w:eastAsia="Calibri" w:hAnsi="Calibri"/>
                <w:highlight w:val="white"/>
                <w:rtl w:val="0"/>
              </w:rPr>
              <w:t xml:space="preserve">, and </w:t>
            </w:r>
            <w:hyperlink r:id="rId14">
              <w:r w:rsidDel="00000000" w:rsidR="00000000" w:rsidRPr="00000000">
                <w:rPr>
                  <w:rFonts w:ascii="Calibri" w:cs="Calibri" w:eastAsia="Calibri" w:hAnsi="Calibri"/>
                  <w:highlight w:val="white"/>
                  <w:u w:val="single"/>
                  <w:rtl w:val="0"/>
                </w:rPr>
                <w:t xml:space="preserve">3 U.S.C. § 1</w:t>
              </w:r>
            </w:hyperlink>
            <w:r w:rsidDel="00000000" w:rsidR="00000000" w:rsidRPr="00000000">
              <w:rPr>
                <w:rFonts w:ascii="Calibri" w:cs="Calibri" w:eastAsia="Calibri" w:hAnsi="Calibri"/>
                <w:highlight w:val="white"/>
                <w:rtl w:val="0"/>
              </w:rPr>
              <w:t xml:space="preserve">, that set the Tuesday after the first Monday in November, in every even-numbered year, as the “election” day for federal offices.</w:t>
            </w:r>
          </w:p>
          <w:p w:rsidR="00000000" w:rsidDel="00000000" w:rsidP="00000000" w:rsidRDefault="00000000" w:rsidRPr="00000000" w14:paraId="00000063">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One basic issue for the court were the requests from Watson and the RNC for the justices to decide </w:t>
            </w:r>
            <w:r w:rsidDel="00000000" w:rsidR="00000000" w:rsidRPr="00000000">
              <w:rPr>
                <w:rFonts w:ascii="Calibri" w:cs="Calibri" w:eastAsia="Calibri" w:hAnsi="Calibri"/>
                <w:i w:val="1"/>
                <w:iCs w:val="1"/>
                <w:highlight w:val="white"/>
                <w:rtl w:val="0"/>
              </w:rPr>
              <w:t xml:space="preserve">when</w:t>
            </w:r>
            <w:r w:rsidDel="00000000" w:rsidR="00000000" w:rsidRPr="00000000">
              <w:rPr>
                <w:rFonts w:ascii="Calibri" w:cs="Calibri" w:eastAsia="Calibri" w:hAnsi="Calibri"/>
                <w:highlight w:val="white"/>
                <w:rtl w:val="0"/>
              </w:rPr>
              <w:t xml:space="preserve"> a federal election happens. In the state of Mississippi’s view, an election happens at the time when voters fill out and submit ballots on or before Election Day. Citing </w:t>
            </w:r>
            <w:hyperlink r:id="rId15">
              <w:r w:rsidDel="00000000" w:rsidR="00000000" w:rsidRPr="00000000">
                <w:rPr>
                  <w:rFonts w:ascii="Calibri" w:cs="Calibri" w:eastAsia="Calibri" w:hAnsi="Calibri"/>
                  <w:i w:val="1"/>
                  <w:iCs w:val="1"/>
                  <w:highlight w:val="white"/>
                  <w:u w:val="single"/>
                  <w:rtl w:val="0"/>
                </w:rPr>
                <w:t xml:space="preserve">Newberry v. United States</w:t>
              </w:r>
            </w:hyperlink>
            <w:r w:rsidDel="00000000" w:rsidR="00000000" w:rsidRPr="00000000">
              <w:rPr>
                <w:rFonts w:ascii="Calibri" w:cs="Calibri" w:eastAsia="Calibri" w:hAnsi="Calibri"/>
                <w:highlight w:val="white"/>
                <w:rtl w:val="0"/>
              </w:rPr>
              <w:t xml:space="preserve"> (1921) and historical precedents, Mississippi argued that it had the ability to count ballots postmarked on or before Election Day that are tardy because the election outcome “does not depend on when ballots are received.”</w:t>
            </w:r>
          </w:p>
          <w:p w:rsidR="00000000" w:rsidDel="00000000" w:rsidP="00000000" w:rsidRDefault="00000000" w:rsidRPr="00000000" w14:paraId="00000064">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RNC took a different view. Citing the two federal laws that set the “election” day for federal offices, the RNC argued that an election for federal offices ends on Election Day. Citing another Supreme Court precedent, </w:t>
            </w:r>
            <w:hyperlink r:id="rId16">
              <w:r w:rsidDel="00000000" w:rsidR="00000000" w:rsidRPr="00000000">
                <w:rPr>
                  <w:rFonts w:ascii="Calibri" w:cs="Calibri" w:eastAsia="Calibri" w:hAnsi="Calibri"/>
                  <w:i w:val="1"/>
                  <w:iCs w:val="1"/>
                  <w:highlight w:val="white"/>
                  <w:u w:val="single"/>
                  <w:rtl w:val="0"/>
                </w:rPr>
                <w:t xml:space="preserve">Foster v. Love</w:t>
              </w:r>
            </w:hyperlink>
            <w:r w:rsidDel="00000000" w:rsidR="00000000" w:rsidRPr="00000000">
              <w:rPr>
                <w:rFonts w:ascii="Calibri" w:cs="Calibri" w:eastAsia="Calibri" w:hAnsi="Calibri"/>
                <w:highlight w:val="white"/>
                <w:rtl w:val="0"/>
              </w:rPr>
              <w:t xml:space="preserve"> (1997), the RNC argued that extending an election deadline set by Congress conflicted with the intent of federal lawmakers, and that federal Election Day statutes govern when states must close the ballot box, not allowing states to count late-arriving votes.</w:t>
            </w:r>
          </w:p>
          <w:p w:rsidR="00000000" w:rsidDel="00000000" w:rsidP="00000000" w:rsidRDefault="00000000" w:rsidRPr="00000000" w14:paraId="00000065">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extended arguments at the Supreme Court</w:t>
            </w:r>
          </w:p>
          <w:p w:rsidR="00000000" w:rsidDel="00000000" w:rsidP="00000000" w:rsidRDefault="00000000" w:rsidRPr="00000000" w14:paraId="00000066">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After Mississippi solicitor general Scott G. Stewart’s opening statement on March 23, Justice Clarence Thomas posed the basic question presented in the briefs to the Court about the definition of Election Day in federal elections.</w:t>
            </w:r>
          </w:p>
          <w:p w:rsidR="00000000" w:rsidDel="00000000" w:rsidP="00000000" w:rsidRDefault="00000000" w:rsidRPr="00000000" w14:paraId="00000067">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“Just to be clear, you have said in your opening statement sometimes, you said, the decision—the choice has to be made by Election Day, and at other points, you say on Election Day. Which is it?” Thomas asked. Stewart replied that the election was held by Election Day, leading Justice Thomas to offer an example of a person giving their mail-in ballot to a neighbor to submit in the mail as seemingly conflicting with the state law.</w:t>
            </w:r>
          </w:p>
          <w:p w:rsidR="00000000" w:rsidDel="00000000" w:rsidP="00000000" w:rsidRDefault="00000000" w:rsidRPr="00000000" w14:paraId="00000068">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The follow-up questions from the court focused on several issues. One line was focused on complications related to policy scenarios posed by Justices Thomas and Justice Amy Coney Barrett about how mail-in ballots were submitted.</w:t>
            </w:r>
          </w:p>
          <w:p w:rsidR="00000000" w:rsidDel="00000000" w:rsidP="00000000" w:rsidRDefault="00000000" w:rsidRPr="00000000" w14:paraId="00000069">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Barrett posited that while the Mississippi state law required a mail-in ballot to be “deposited in USPS or with a common carrier,” it could easily be included in a group of ballots collected by an HOA to be deposited as a group, which presented conflicts.</w:t>
            </w:r>
          </w:p>
          <w:p w:rsidR="00000000" w:rsidDel="00000000" w:rsidP="00000000" w:rsidRDefault="00000000" w:rsidRPr="00000000" w14:paraId="0000006A">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Another line of questioning centered on precedents. Justice Sonia Sotomayor cited practices during the Civil War that permitted officers to submit ballots on behalf of other military members. Justice Ketanji Brown Jackson cited other precedents dating back to the Founding era.</w:t>
            </w:r>
          </w:p>
          <w:p w:rsidR="00000000" w:rsidDel="00000000" w:rsidP="00000000" w:rsidRDefault="00000000" w:rsidRPr="00000000" w14:paraId="0000006B">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“Congress permitted in 1792 about a month to elapse between the casting of votes, which, by the way, it called Election Day, and … the electors submitted them to the president of the Senate up to a month after,” Jackson argued. That example presented “significant and compelling historical evidence of Congress's understanding of what was required by Election Day versus the receipt of those ballots at some subsequent point,” she told Mississippi solicitor general Stewart.</w:t>
            </w:r>
          </w:p>
          <w:p w:rsidR="00000000" w:rsidDel="00000000" w:rsidP="00000000" w:rsidRDefault="00000000" w:rsidRPr="00000000" w14:paraId="0000006C">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Justice Samuel Alito also asked Stewart about the appearance of impropriety if states could set extended deadlines for receiving ballots. “Some of the briefs have argued that confidence in election outcomes can be seriously undermined if the apparent outcome of the election on the day after the polls close is radically flipped by the acceptance later of a big stash of ballots that flip the election.” Stewart replied by pointing to the case brief of United States Solicitor General D. John Sauer: “They haven't cited a single example of fraud from post-Election Day ballot receipt in this century.”</w:t>
            </w:r>
          </w:p>
          <w:p w:rsidR="00000000" w:rsidDel="00000000" w:rsidP="00000000" w:rsidRDefault="00000000" w:rsidRPr="00000000" w14:paraId="0000006D">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Military and absentee voting and other scenarios</w:t>
            </w:r>
          </w:p>
          <w:p w:rsidR="00000000" w:rsidDel="00000000" w:rsidP="00000000" w:rsidRDefault="00000000" w:rsidRPr="00000000" w14:paraId="0000006E">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In its arguments, the state of Mississippi also pointed to the Uniformed and Overseas Citizens Absentee Voting Act (UOCAVA), a law that permits the late receival of overseas military and absentee ballots.</w:t>
            </w:r>
          </w:p>
          <w:p w:rsidR="00000000" w:rsidDel="00000000" w:rsidP="00000000" w:rsidRDefault="00000000" w:rsidRPr="00000000" w14:paraId="0000006F">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Justices Jackson and Sotomayor had direct questions about the UOCAVA precedent. “I think we have several federal statutes that suggest that Congress was aware of post-Election Day ballot deadlines that the states had enacted and, in fact, incorporated those in several circumstances,” she told Stewart.</w:t>
            </w:r>
          </w:p>
          <w:p w:rsidR="00000000" w:rsidDel="00000000" w:rsidP="00000000" w:rsidRDefault="00000000" w:rsidRPr="00000000" w14:paraId="00000070">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In later questioning with Paul Clement, who was arguing for the RNC, Sotomayor asked if Congress by passing UOCAVA that allowed for the states to establish a “process in the manner provided by law for absentee ballots.” Justice Elena Kagan echoed similar comments about UOCAVA: “What [Congress] took from that is that they thought that this state function of setting ballot receipt deadlines was something that was a state function.”</w:t>
            </w:r>
          </w:p>
          <w:p w:rsidR="00000000" w:rsidDel="00000000" w:rsidP="00000000" w:rsidRDefault="00000000" w:rsidRPr="00000000" w14:paraId="00000071">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Justice Neil Gorsuch also asked about a scenario where states that had extended ballot receipt deadlines could also allow for a voter recall. Chief Justice John Roberts wondered if the Court’s ruling could affect the status of early voting laws in the states that allowed the counting of late-arriving votes.</w:t>
            </w:r>
          </w:p>
          <w:p w:rsidR="00000000" w:rsidDel="00000000" w:rsidP="00000000" w:rsidRDefault="00000000" w:rsidRPr="00000000" w14:paraId="00000072">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And Justice Brett Kavanaugh voiced concerns to Clement about how the Court’s decision could affect the upcoming fall elections under the </w:t>
            </w:r>
            <w:r w:rsidDel="00000000" w:rsidR="00000000" w:rsidRPr="00000000">
              <w:rPr>
                <w:rFonts w:ascii="Calibri" w:cs="Calibri" w:eastAsia="Calibri" w:hAnsi="Calibri"/>
                <w:i w:val="1"/>
                <w:iCs w:val="1"/>
                <w:highlight w:val="white"/>
                <w:rtl w:val="0"/>
              </w:rPr>
              <w:t xml:space="preserve">Purcell</w:t>
            </w:r>
            <w:r w:rsidDel="00000000" w:rsidR="00000000" w:rsidRPr="00000000">
              <w:rPr>
                <w:rFonts w:ascii="Calibri" w:cs="Calibri" w:eastAsia="Calibri" w:hAnsi="Calibri"/>
                <w:highlight w:val="white"/>
                <w:rtl w:val="0"/>
              </w:rPr>
              <w:t xml:space="preserve"> principle. Based on </w:t>
            </w:r>
            <w:hyperlink r:id="rId17">
              <w:r w:rsidDel="00000000" w:rsidR="00000000" w:rsidRPr="00000000">
                <w:rPr>
                  <w:rFonts w:ascii="Calibri" w:cs="Calibri" w:eastAsia="Calibri" w:hAnsi="Calibri"/>
                  <w:i w:val="1"/>
                  <w:iCs w:val="1"/>
                  <w:highlight w:val="white"/>
                  <w:u w:val="single"/>
                  <w:rtl w:val="0"/>
                </w:rPr>
                <w:t xml:space="preserve">Purcell v. Gonzalez</w:t>
              </w:r>
            </w:hyperlink>
            <w:r w:rsidDel="00000000" w:rsidR="00000000" w:rsidRPr="00000000">
              <w:rPr>
                <w:rFonts w:ascii="Calibri" w:cs="Calibri" w:eastAsia="Calibri" w:hAnsi="Calibri"/>
                <w:highlight w:val="white"/>
                <w:rtl w:val="0"/>
              </w:rPr>
              <w:t xml:space="preserve"> (2006), courts are not expected to change voting rules and guidelines prior to an election in an effort to avoid confusing voters while presenting conflicts for people administering elections. Clement believed a June decision from the court left adequate time for state officials to prepare for the fall general election.</w:t>
            </w:r>
          </w:p>
          <w:p w:rsidR="00000000" w:rsidDel="00000000" w:rsidP="00000000" w:rsidRDefault="00000000" w:rsidRPr="00000000" w14:paraId="00000073">
            <w:pPr>
              <w:widowControl w:val="0"/>
              <w:shd w:fill="ffffff" w:val="clear"/>
              <w:spacing w:after="240" w:line="240" w:lineRule="auto"/>
              <w:rPr>
                <w:rFonts w:ascii="Calibri" w:cs="Calibri" w:eastAsia="Calibri" w:hAnsi="Calibri"/>
                <w:highlight w:val="white"/>
              </w:rPr>
            </w:pPr>
            <w:r w:rsidDel="00000000" w:rsidR="00000000" w:rsidRPr="00000000">
              <w:rPr>
                <w:rFonts w:ascii="Calibri" w:cs="Calibri" w:eastAsia="Calibri" w:hAnsi="Calibri"/>
                <w:highlight w:val="white"/>
                <w:rtl w:val="0"/>
              </w:rPr>
              <w:t xml:space="preserve">After two hours of arguments, these and other questions presented to the Court will be subject to much speculation as will the Court’s decision, given the high profile of elections that will decide the control of Congress.</w:t>
            </w:r>
          </w:p>
          <w:p w:rsidR="00000000" w:rsidDel="00000000" w:rsidP="00000000" w:rsidRDefault="00000000" w:rsidRPr="00000000" w14:paraId="00000074">
            <w:pPr>
              <w:widowControl w:val="0"/>
              <w:spacing w:line="240" w:lineRule="auto"/>
              <w:rPr>
                <w:rFonts w:ascii="Calibri" w:cs="Calibri" w:eastAsia="Calibri" w:hAnsi="Calibri"/>
                <w:highlight w:val="white"/>
              </w:rPr>
            </w:pPr>
            <w:r w:rsidDel="00000000" w:rsidR="00000000" w:rsidRPr="00000000">
              <w:rPr>
                <w:rtl w:val="0"/>
              </w:rPr>
            </w:r>
          </w:p>
          <w:p w:rsidR="00000000" w:rsidDel="00000000" w:rsidP="00000000" w:rsidRDefault="00000000" w:rsidRPr="00000000" w14:paraId="00000075">
            <w:pPr>
              <w:widowControl w:val="0"/>
              <w:spacing w:line="240" w:lineRule="auto"/>
              <w:rPr>
                <w:rFonts w:ascii="Calibri" w:cs="Calibri" w:eastAsia="Calibri" w:hAnsi="Calibri"/>
              </w:rPr>
            </w:pPr>
            <w:r w:rsidDel="00000000" w:rsidR="00000000" w:rsidRPr="00000000">
              <w:rPr>
                <w:rtl w:val="0"/>
              </w:rPr>
            </w:r>
          </w:p>
        </w:tc>
        <w:tc>
          <w:tcPr>
            <w:shd w:fill="auto" w:val="clear"/>
            <w:tcMar>
              <w:top w:w="100.0" w:type="dxa"/>
              <w:left w:w="100.0" w:type="dxa"/>
              <w:bottom w:w="100.0" w:type="dxa"/>
              <w:right w:w="100.0" w:type="dxa"/>
            </w:tcMar>
            <w:vAlign w:val="top"/>
          </w:tcPr>
          <w:p w:rsidR="00000000" w:rsidDel="00000000" w:rsidP="00000000" w:rsidRDefault="00000000" w:rsidRPr="00000000" w14:paraId="00000077">
            <w:pPr>
              <w:widowControl w:val="0"/>
              <w:spacing w:line="240" w:lineRule="auto"/>
              <w:rPr>
                <w:rFonts w:ascii="Calibri" w:cs="Calibri" w:eastAsia="Calibri" w:hAnsi="Calibri"/>
              </w:rPr>
            </w:pPr>
            <w:r w:rsidDel="00000000" w:rsidR="00000000" w:rsidRPr="00000000">
              <w:rPr>
                <w:rtl w:val="0"/>
              </w:rPr>
            </w:r>
          </w:p>
        </w:tc>
      </w:tr>
    </w:tbl>
    <w:p w:rsidR="00000000" w:rsidDel="00000000" w:rsidP="00000000" w:rsidRDefault="00000000" w:rsidRPr="00000000" w14:paraId="00000078">
      <w:pPr>
        <w:rPr>
          <w:rFonts w:ascii="Calibri" w:cs="Calibri" w:eastAsia="Calibri" w:hAnsi="Calibri"/>
        </w:rPr>
      </w:pPr>
      <w:r w:rsidDel="00000000" w:rsidR="00000000" w:rsidRPr="00000000">
        <w:rPr>
          <w:rtl w:val="0"/>
        </w:rPr>
      </w:r>
    </w:p>
    <w:p w:rsidR="00000000" w:rsidDel="00000000" w:rsidP="00000000" w:rsidRDefault="00000000" w:rsidRPr="00000000" w14:paraId="00000079">
      <w:pPr>
        <w:rPr>
          <w:rFonts w:ascii="Calibri" w:cs="Calibri" w:eastAsia="Calibri" w:hAnsi="Calibri"/>
        </w:rPr>
      </w:pPr>
      <w:r w:rsidDel="00000000" w:rsidR="00000000" w:rsidRPr="00000000">
        <w:rPr>
          <w:rtl w:val="0"/>
        </w:rPr>
      </w:r>
    </w:p>
    <w:p w:rsidR="00000000" w:rsidDel="00000000" w:rsidP="00000000" w:rsidRDefault="00000000" w:rsidRPr="00000000" w14:paraId="0000007A">
      <w:pPr>
        <w:rPr>
          <w:rFonts w:ascii="Calibri" w:cs="Calibri" w:eastAsia="Calibri" w:hAnsi="Calibri"/>
        </w:rPr>
      </w:pPr>
      <w:r w:rsidDel="00000000" w:rsidR="00000000" w:rsidRPr="00000000">
        <w:rPr>
          <w:rtl w:val="0"/>
        </w:rPr>
      </w:r>
    </w:p>
    <w:p w:rsidR="00000000" w:rsidDel="00000000" w:rsidP="00000000" w:rsidRDefault="00000000" w:rsidRPr="00000000" w14:paraId="0000007B">
      <w:pPr>
        <w:rPr>
          <w:rFonts w:ascii="Calibri" w:cs="Calibri" w:eastAsia="Calibri" w:hAnsi="Calibri"/>
        </w:rPr>
      </w:pPr>
      <w:r w:rsidDel="00000000" w:rsidR="00000000" w:rsidRPr="00000000">
        <w:rPr>
          <w:rtl w:val="0"/>
        </w:rPr>
      </w:r>
    </w:p>
    <w:p w:rsidR="00000000" w:rsidDel="00000000" w:rsidP="00000000" w:rsidRDefault="00000000" w:rsidRPr="00000000" w14:paraId="0000007C">
      <w:pPr>
        <w:rPr>
          <w:rFonts w:ascii="Calibri" w:cs="Calibri" w:eastAsia="Calibri" w:hAnsi="Calibri"/>
        </w:rPr>
      </w:pPr>
      <w:r w:rsidDel="00000000" w:rsidR="00000000" w:rsidRPr="00000000">
        <w:rPr>
          <w:rtl w:val="0"/>
        </w:rPr>
      </w:r>
    </w:p>
    <w:p w:rsidR="00000000" w:rsidDel="00000000" w:rsidP="00000000" w:rsidRDefault="00000000" w:rsidRPr="00000000" w14:paraId="0000007D">
      <w:pPr>
        <w:rPr>
          <w:rFonts w:ascii="Calibri" w:cs="Calibri" w:eastAsia="Calibri" w:hAnsi="Calibri"/>
        </w:rPr>
      </w:pPr>
      <w:r w:rsidDel="00000000" w:rsidR="00000000" w:rsidRPr="00000000">
        <w:rPr>
          <w:rtl w:val="0"/>
        </w:rPr>
      </w:r>
    </w:p>
    <w:p w:rsidR="00000000" w:rsidDel="00000000" w:rsidP="00000000" w:rsidRDefault="00000000" w:rsidRPr="00000000" w14:paraId="0000007E">
      <w:pPr>
        <w:rPr>
          <w:rFonts w:ascii="Calibri" w:cs="Calibri" w:eastAsia="Calibri" w:hAnsi="Calibri"/>
        </w:rPr>
      </w:pPr>
      <w:r w:rsidDel="00000000" w:rsidR="00000000" w:rsidRPr="00000000">
        <w:rPr>
          <w:rtl w:val="0"/>
        </w:rPr>
      </w:r>
    </w:p>
    <w:p w:rsidR="00000000" w:rsidDel="00000000" w:rsidP="00000000" w:rsidRDefault="00000000" w:rsidRPr="00000000" w14:paraId="0000007F">
      <w:pPr>
        <w:rPr>
          <w:rFonts w:ascii="Calibri" w:cs="Calibri" w:eastAsia="Calibri" w:hAnsi="Calibri"/>
        </w:rPr>
      </w:pPr>
      <w:r w:rsidDel="00000000" w:rsidR="00000000" w:rsidRPr="00000000">
        <w:rPr>
          <w:rtl w:val="0"/>
        </w:rPr>
      </w:r>
    </w:p>
    <w:p w:rsidR="00000000" w:rsidDel="00000000" w:rsidP="00000000" w:rsidRDefault="00000000" w:rsidRPr="00000000" w14:paraId="00000080">
      <w:pPr>
        <w:rPr>
          <w:rFonts w:ascii="Calibri" w:cs="Calibri" w:eastAsia="Calibri" w:hAnsi="Calibri"/>
        </w:rPr>
      </w:pPr>
      <w:r w:rsidDel="00000000" w:rsidR="00000000" w:rsidRPr="00000000">
        <w:rPr>
          <w:rtl w:val="0"/>
        </w:rPr>
      </w:r>
    </w:p>
    <w:sectPr>
      <w:headerReference r:id="rId18" w:type="default"/>
      <w:footerReference r:id="rId19" w:type="default"/>
      <w:pgSz w:h="15840" w:w="12240" w:orient="portrait"/>
      <w:pgMar w:bottom="1440" w:top="1440" w:left="1440" w:right="1440" w:header="720" w:footer="720"/>
      <w:pgNumType w:start="1"/>
    </w:sectPr>
  </w:body>
</w:document>
</file>

<file path=word/fontTable.xml><?xml version="1.0" encoding="utf-8"?>
<w:font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font w:name="Arial"/>
  <w:font w:name="Trebuchet MS"/>
  <w:font w:name="Calibri"/>
</w:fonts>
</file>

<file path=word/footer1.xml><?xml version="1.0" encoding="utf-8"?>
<w:ft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1">
    <w:pPr>
      <w:jc w:val="right"/>
      <w:rPr/>
    </w:pPr>
    <w:r w:rsidDel="00000000" w:rsidR="00000000" w:rsidRPr="00000000">
      <w:rPr/>
      <w:fldChar w:fldCharType="begin"/>
      <w:instrText xml:space="preserve">PAGE</w:instrText>
      <w:fldChar w:fldCharType="separate"/>
      <w:fldChar w:fldCharType="end"/>
    </w:r>
    <w:r w:rsidDel="00000000" w:rsidR="00000000" w:rsidRPr="00000000">
      <w:rPr>
        <w:rtl w:val="0"/>
      </w:rPr>
    </w:r>
  </w:p>
</w:ftr>
</file>

<file path=word/header1.xml><?xml version="1.0" encoding="utf-8"?>
<w:hdr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p w:rsidR="00000000" w:rsidDel="00000000" w:rsidP="00000000" w:rsidRDefault="00000000" w:rsidRPr="00000000" w14:paraId="00000082">
    <w:pPr>
      <w:jc w:val="right"/>
      <w:rPr/>
    </w:pPr>
    <w:r w:rsidDel="00000000" w:rsidR="00000000" w:rsidRPr="00000000">
      <w:rPr>
        <w:sz w:val="20"/>
        <w:szCs w:val="20"/>
      </w:rPr>
      <w:drawing>
        <wp:inline distB="114300" distT="114300" distL="114300" distR="114300">
          <wp:extent cx="3033713" cy="562705"/>
          <wp:effectExtent b="0" l="0" r="0" t="0"/>
          <wp:docPr id="1" name="image1.png"/>
          <a:graphic>
            <a:graphicData uri="http://schemas.openxmlformats.org/drawingml/2006/picture">
              <pic:pic>
                <pic:nvPicPr>
                  <pic:cNvPr id="0" name="image1.png"/>
                  <pic:cNvPicPr preferRelativeResize="0"/>
                </pic:nvPicPr>
                <pic:blipFill>
                  <a:blip r:embed="rId1"/>
                  <a:srcRect b="0" l="0" r="0" t="0"/>
                  <a:stretch>
                    <a:fillRect/>
                  </a:stretch>
                </pic:blipFill>
                <pic:spPr>
                  <a:xfrm>
                    <a:off x="0" y="0"/>
                    <a:ext cx="3033713" cy="562705"/>
                  </a:xfrm>
                  <a:prstGeom prst="rect"/>
                  <a:ln/>
                </pic:spPr>
              </pic:pic>
            </a:graphicData>
          </a:graphic>
        </wp:inline>
      </w:drawing>
    </w:r>
    <w:r w:rsidDel="00000000" w:rsidR="00000000" w:rsidRPr="00000000">
      <w:rPr>
        <w:rtl w:val="0"/>
      </w:rPr>
    </w:r>
  </w:p>
</w:hdr>
</file>

<file path=word/numbering.xml><?xml version="1.0" encoding="utf-8"?>
<w:numbering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abstractNum w:abstractNumId="1">
    <w:lvl w:ilvl="0">
      <w:start w:val="1"/>
      <w:numFmt w:val="bullet"/>
      <w:lvlText w:val="●"/>
      <w:lvlJc w:val="left"/>
      <w:pPr>
        <w:ind w:left="720" w:hanging="360"/>
      </w:pPr>
      <w:rPr>
        <w:u w:val="none"/>
      </w:rPr>
    </w:lvl>
    <w:lvl w:ilvl="1">
      <w:start w:val="1"/>
      <w:numFmt w:val="bullet"/>
      <w:lvlText w:val="●"/>
      <w:lvlJc w:val="left"/>
      <w:pPr>
        <w:ind w:left="1440" w:hanging="360"/>
      </w:pPr>
      <w:rPr>
        <w:u w:val="none"/>
      </w:rPr>
    </w:lvl>
    <w:lvl w:ilvl="2">
      <w:start w:val="1"/>
      <w:numFmt w:val="bullet"/>
      <w:lvlText w:val="●"/>
      <w:lvlJc w:val="left"/>
      <w:pPr>
        <w:ind w:left="2160" w:hanging="360"/>
      </w:pPr>
      <w:rPr>
        <w:u w:val="none"/>
      </w:rPr>
    </w:lvl>
    <w:lvl w:ilvl="3">
      <w:start w:val="1"/>
      <w:numFmt w:val="bullet"/>
      <w:lvlText w:val="●"/>
      <w:lvlJc w:val="left"/>
      <w:pPr>
        <w:ind w:left="2880" w:hanging="360"/>
      </w:pPr>
      <w:rPr>
        <w:u w:val="none"/>
      </w:rPr>
    </w:lvl>
    <w:lvl w:ilvl="4">
      <w:start w:val="1"/>
      <w:numFmt w:val="bullet"/>
      <w:lvlText w:val="●"/>
      <w:lvlJc w:val="left"/>
      <w:pPr>
        <w:ind w:left="3600" w:hanging="360"/>
      </w:pPr>
      <w:rPr>
        <w:u w:val="none"/>
      </w:rPr>
    </w:lvl>
    <w:lvl w:ilvl="5">
      <w:start w:val="1"/>
      <w:numFmt w:val="bullet"/>
      <w:lvlText w:val="●"/>
      <w:lvlJc w:val="left"/>
      <w:pPr>
        <w:ind w:left="4320" w:hanging="360"/>
      </w:pPr>
      <w:rPr>
        <w:u w:val="none"/>
      </w:rPr>
    </w:lvl>
    <w:lvl w:ilvl="6">
      <w:start w:val="1"/>
      <w:numFmt w:val="bullet"/>
      <w:lvlText w:val="●"/>
      <w:lvlJc w:val="left"/>
      <w:pPr>
        <w:ind w:left="5040" w:hanging="360"/>
      </w:pPr>
      <w:rPr>
        <w:u w:val="none"/>
      </w:rPr>
    </w:lvl>
    <w:lvl w:ilvl="7">
      <w:start w:val="1"/>
      <w:numFmt w:val="bullet"/>
      <w:lvlText w:val="●"/>
      <w:lvlJc w:val="left"/>
      <w:pPr>
        <w:ind w:left="5760" w:hanging="360"/>
      </w:pPr>
      <w:rPr>
        <w:u w:val="none"/>
      </w:rPr>
    </w:lvl>
    <w:lvl w:ilvl="8">
      <w:start w:val="1"/>
      <w:numFmt w:val="bullet"/>
      <w:lvlText w:val="●"/>
      <w:lvlJc w:val="left"/>
      <w:pPr>
        <w:ind w:left="6480" w:hanging="360"/>
      </w:pPr>
      <w:rPr>
        <w:u w:val="none"/>
      </w:rPr>
    </w:lvl>
  </w:abstractNum>
  <w:num w:numId="1">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isplayBackgroundShape w:val="1"/>
  <w:embedTrueTypeFonts w:val="1"/>
  <w:defaultTabStop w:val="720"/>
  <w:compat>
    <w:compatSetting w:val="15" w:name="compatibilityMode" w:uri="http://schemas.microsoft.com/office/word"/>
  </w:compat>
  <w:clrSchemeMapping w:bg1="light1" w:t1="dark1" w:bg2="light2" w:t2="dark2" w:accent1="accent1" w:accent2="accent2" w:accent3="accent3" w:accent4="accent4" w:accent5="accent5" w:accent6="accent6" w:hyperlink="hyperlink" w:followedHyperlink="followedHyperlink"/>
</w:settings>
</file>

<file path=word/styles.xml><?xml version="1.0" encoding="utf-8"?>
<w:styles xmlns:mc="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xmlns:sl="http://schemas.openxmlformats.org/schemaLibrary/2006/main" xmlns:a="http://schemas.openxmlformats.org/drawingml/2006/main" xmlns:pic="http://schemas.openxmlformats.org/drawingml/2006/picture" xmlns:c="http://schemas.openxmlformats.org/drawingml/2006/chart" xmlns:lc="http://schemas.openxmlformats.org/drawingml/2006/lockedCanvas" xmlns:dgm="http://schemas.openxmlformats.org/drawingml/2006/diagram" xmlns:wps="http://schemas.microsoft.com/office/word/2010/wordprocessingShape" xmlns:wpg="http://schemas.microsoft.com/office/word/2010/wordprocessingGroup" xmlns:w14="http://schemas.microsoft.com/office/word/2010/wordml" xmlns:w15="http://schemas.microsoft.com/office/word/2012/wordml" xmlns:w16="http://schemas.microsoft.com/office/word/2018/wordml" xmlns:w16cex="http://schemas.microsoft.com/office/word/2018/wordml/cex" xmlns:w16cid="http://schemas.microsoft.com/office/word/2016/wordml/cid" xmlns="http://schemas.microsoft.com/office/tasks/2019/documenttasks" xmlns:cr="http://schemas.microsoft.com/office/comments/2020/reactions">
  <w:docDefaults>
    <w:rPrDefault>
      <w:rPr>
        <w:rFonts w:ascii="Arial" w:cs="Arial" w:eastAsia="Arial" w:hAnsi="Arial"/>
        <w:sz w:val="22"/>
        <w:szCs w:val="22"/>
        <w:lang w:val="en"/>
      </w:rPr>
    </w:rPrDefault>
    <w:pPrDefault>
      <w:pPr>
        <w:spacing w:line="276" w:lineRule="auto"/>
      </w:pPr>
    </w:pPrDefault>
  </w:docDefaults>
  <w:style w:type="table" w:styleId="TableNormal" w:default="1">
    <w:name w:val="TableNormal"/>
    <w:tblPr>
      <w:tblCellMar>
        <w:top w:w="100.0" w:type="dxa"/>
        <w:left w:w="100.0" w:type="dxa"/>
        <w:bottom w:w="100.0" w:type="dxa"/>
        <w:right w:w="100.0" w:type="dxa"/>
      </w:tblCellMar>
    </w:tblPr>
  </w:style>
  <w:style w:type="paragraph" w:styleId="Normal" w:default="1">
    <w:name w:val="normal"/>
  </w:style>
  <w:style w:type="paragraph" w:styleId="Heading1">
    <w:name w:val="heading 1"/>
    <w:basedOn w:val="Normal"/>
    <w:next w:val="Normal"/>
    <w:pPr>
      <w:keepNext w:val="1"/>
      <w:keepLines w:val="1"/>
      <w:pageBreakBefore w:val="0"/>
      <w:spacing w:after="0" w:before="200" w:lineRule="auto"/>
    </w:pPr>
    <w:rPr>
      <w:rFonts w:ascii="Trebuchet MS" w:cs="Trebuchet MS" w:eastAsia="Trebuchet MS" w:hAnsi="Trebuchet MS"/>
      <w:sz w:val="32"/>
      <w:szCs w:val="32"/>
    </w:rPr>
  </w:style>
  <w:style w:type="paragraph" w:styleId="Heading2">
    <w:name w:val="heading 2"/>
    <w:basedOn w:val="Normal"/>
    <w:next w:val="Normal"/>
    <w:pPr>
      <w:keepNext w:val="1"/>
      <w:keepLines w:val="1"/>
      <w:pageBreakBefore w:val="0"/>
      <w:spacing w:after="0" w:before="200" w:lineRule="auto"/>
    </w:pPr>
    <w:rPr>
      <w:rFonts w:ascii="Trebuchet MS" w:cs="Trebuchet MS" w:eastAsia="Trebuchet MS" w:hAnsi="Trebuchet MS"/>
      <w:b w:val="1"/>
      <w:bCs w:val="1"/>
      <w:sz w:val="26"/>
      <w:szCs w:val="26"/>
    </w:rPr>
  </w:style>
  <w:style w:type="paragraph" w:styleId="Heading3">
    <w:name w:val="heading 3"/>
    <w:basedOn w:val="Normal"/>
    <w:next w:val="Normal"/>
    <w:pPr>
      <w:keepNext w:val="1"/>
      <w:keepLines w:val="1"/>
      <w:pageBreakBefore w:val="0"/>
      <w:spacing w:after="0" w:before="160" w:lineRule="auto"/>
    </w:pPr>
    <w:rPr>
      <w:rFonts w:ascii="Trebuchet MS" w:cs="Trebuchet MS" w:eastAsia="Trebuchet MS" w:hAnsi="Trebuchet MS"/>
      <w:b w:val="1"/>
      <w:bCs w:val="1"/>
      <w:color w:val="666666"/>
      <w:sz w:val="24"/>
      <w:szCs w:val="24"/>
    </w:rPr>
  </w:style>
  <w:style w:type="paragraph" w:styleId="Heading4">
    <w:name w:val="heading 4"/>
    <w:basedOn w:val="Normal"/>
    <w:next w:val="Normal"/>
    <w:pPr>
      <w:keepNext w:val="1"/>
      <w:keepLines w:val="1"/>
      <w:pageBreakBefore w:val="0"/>
      <w:spacing w:after="0" w:before="160" w:lineRule="auto"/>
    </w:pPr>
    <w:rPr>
      <w:rFonts w:ascii="Trebuchet MS" w:cs="Trebuchet MS" w:eastAsia="Trebuchet MS" w:hAnsi="Trebuchet MS"/>
      <w:color w:val="666666"/>
      <w:sz w:val="22"/>
      <w:szCs w:val="22"/>
      <w:u w:val="single"/>
    </w:rPr>
  </w:style>
  <w:style w:type="paragraph" w:styleId="Heading5">
    <w:name w:val="heading 5"/>
    <w:basedOn w:val="Normal"/>
    <w:next w:val="Normal"/>
    <w:pPr>
      <w:keepNext w:val="1"/>
      <w:keepLines w:val="1"/>
      <w:pageBreakBefore w:val="0"/>
      <w:spacing w:after="0" w:before="160" w:lineRule="auto"/>
    </w:pPr>
    <w:rPr>
      <w:rFonts w:ascii="Trebuchet MS" w:cs="Trebuchet MS" w:eastAsia="Trebuchet MS" w:hAnsi="Trebuchet MS"/>
      <w:color w:val="666666"/>
      <w:sz w:val="22"/>
      <w:szCs w:val="22"/>
    </w:rPr>
  </w:style>
  <w:style w:type="paragraph" w:styleId="Heading6">
    <w:name w:val="heading 6"/>
    <w:basedOn w:val="Normal"/>
    <w:next w:val="Normal"/>
    <w:pPr>
      <w:keepNext w:val="1"/>
      <w:keepLines w:val="1"/>
      <w:pageBreakBefore w:val="0"/>
      <w:spacing w:after="0" w:before="160" w:lineRule="auto"/>
    </w:pPr>
    <w:rPr>
      <w:rFonts w:ascii="Trebuchet MS" w:cs="Trebuchet MS" w:eastAsia="Trebuchet MS" w:hAnsi="Trebuchet MS"/>
      <w:i w:val="1"/>
      <w:iCs w:val="1"/>
      <w:color w:val="666666"/>
      <w:sz w:val="22"/>
      <w:szCs w:val="22"/>
    </w:rPr>
  </w:style>
  <w:style w:type="paragraph" w:styleId="Title">
    <w:name w:val="Title"/>
    <w:basedOn w:val="Normal"/>
    <w:next w:val="Normal"/>
    <w:pPr>
      <w:keepNext w:val="1"/>
      <w:keepLines w:val="1"/>
      <w:pageBreakBefore w:val="0"/>
      <w:spacing w:after="0" w:before="0" w:lineRule="auto"/>
    </w:pPr>
    <w:rPr>
      <w:rFonts w:ascii="Trebuchet MS" w:cs="Trebuchet MS" w:eastAsia="Trebuchet MS" w:hAnsi="Trebuchet MS"/>
      <w:sz w:val="42"/>
      <w:szCs w:val="42"/>
    </w:rPr>
  </w:style>
  <w:style w:type="paragraph" w:styleId="Subtitle">
    <w:name w:val="Subtitle"/>
    <w:basedOn w:val="Normal"/>
    <w:next w:val="Normal"/>
    <w:pPr>
      <w:keepNext w:val="1"/>
      <w:keepLines w:val="1"/>
      <w:pageBreakBefore w:val="0"/>
      <w:spacing w:after="200" w:before="0" w:lineRule="auto"/>
    </w:pPr>
    <w:rPr>
      <w:rFonts w:ascii="Trebuchet MS" w:cs="Trebuchet MS" w:eastAsia="Trebuchet MS" w:hAnsi="Trebuchet MS"/>
      <w:i w:val="1"/>
      <w:iCs w:val="1"/>
      <w:color w:val="666666"/>
      <w:sz w:val="26"/>
      <w:szCs w:val="26"/>
    </w:rPr>
  </w:style>
  <w:style w:type="table" w:styleId="Table1">
    <w:basedOn w:val="TableNormal"/>
    <w:tblPr>
      <w:tblStyleRowBandSize w:val="1"/>
      <w:tblStyleColBandSize w:val="1"/>
    </w:tblPr>
  </w:style>
  <w:style w:type="table" w:styleId="Table2">
    <w:basedOn w:val="TableNormal"/>
    <w:tblPr>
      <w:tblStyleRowBandSize w:val="1"/>
      <w:tblStyleColBandSize w:val="1"/>
    </w:tblPr>
  </w:style>
  <w:style w:type="table" w:styleId="Table3">
    <w:basedOn w:val="TableNormal"/>
    <w:tblPr>
      <w:tblStyleRowBandSize w:val="1"/>
      <w:tblStyleColBandSize w:val="1"/>
    </w:tblPr>
  </w:style>
</w:styles>
</file>

<file path=word/_rels/document.xml.rels><?xml version="1.0" encoding="UTF-8" standalone="yes"?><Relationships xmlns="http://schemas.openxmlformats.org/package/2006/relationships"><Relationship Id="rId11" Type="http://schemas.openxmlformats.org/officeDocument/2006/relationships/hyperlink" Target="https://constitutioncenter.org/the-constitution/articles/article-i/clauses/750#elections-clause-morley-tolson" TargetMode="External"/><Relationship Id="rId10" Type="http://schemas.openxmlformats.org/officeDocument/2006/relationships/hyperlink" Target="https://www.supremecourt.gov/docket/docketfiles/html/public/24-1260.html" TargetMode="External"/><Relationship Id="rId13" Type="http://schemas.openxmlformats.org/officeDocument/2006/relationships/hyperlink" Target="https://www.law.cornell.edu/uscode/text/2/1" TargetMode="External"/><Relationship Id="rId12" Type="http://schemas.openxmlformats.org/officeDocument/2006/relationships/hyperlink" Target="https://www.law.cornell.edu/uscode/text/2/7" TargetMode="External"/><Relationship Id="rId1" Type="http://schemas.openxmlformats.org/officeDocument/2006/relationships/theme" Target="theme/theme1.xml"/><Relationship Id="rId2" Type="http://schemas.openxmlformats.org/officeDocument/2006/relationships/settings" Target="settings.xml"/><Relationship Id="rId3" Type="http://schemas.openxmlformats.org/officeDocument/2006/relationships/fontTable" Target="fontTable.xml"/><Relationship Id="rId4" Type="http://schemas.openxmlformats.org/officeDocument/2006/relationships/numbering" Target="numbering.xml"/><Relationship Id="rId9" Type="http://schemas.openxmlformats.org/officeDocument/2006/relationships/hyperlink" Target="https://constitutioncenter.org/blog/the-supreme-court-tackles-the-fate-of-late-mail-in-ballots" TargetMode="External"/><Relationship Id="rId15" Type="http://schemas.openxmlformats.org/officeDocument/2006/relationships/hyperlink" Target="https://supreme.justia.com/cases/federal/us/256/232/" TargetMode="External"/><Relationship Id="rId14" Type="http://schemas.openxmlformats.org/officeDocument/2006/relationships/hyperlink" Target="https://www.law.cornell.edu/uscode/text/3/1" TargetMode="External"/><Relationship Id="rId17" Type="http://schemas.openxmlformats.org/officeDocument/2006/relationships/hyperlink" Target="https://www.oyez.org/cases/2006/06-532" TargetMode="External"/><Relationship Id="rId16" Type="http://schemas.openxmlformats.org/officeDocument/2006/relationships/hyperlink" Target="https://supreme.justia.com/cases/federal/us/522/67/" TargetMode="External"/><Relationship Id="rId5" Type="http://schemas.openxmlformats.org/officeDocument/2006/relationships/styles" Target="styles.xml"/><Relationship Id="rId19" Type="http://schemas.openxmlformats.org/officeDocument/2006/relationships/footer" Target="footer1.xml"/><Relationship Id="rId6" Type="http://schemas.openxmlformats.org/officeDocument/2006/relationships/hyperlink" Target="https://usafacts.org/articles/how-do-voting-laws-differ-by-state/" TargetMode="External"/><Relationship Id="rId18" Type="http://schemas.openxmlformats.org/officeDocument/2006/relationships/header" Target="header1.xml"/><Relationship Id="rId7" Type="http://schemas.openxmlformats.org/officeDocument/2006/relationships/hyperlink" Target="https://constitutioncenter.org/blog/constitution-check-who-decides-who-gets-to-vote" TargetMode="External"/><Relationship Id="rId8" Type="http://schemas.openxmlformats.org/officeDocument/2006/relationships/hyperlink" Target="https://usafacts.org/articles/how-many-voters-cast-ballots-early-and-by-mail/" TargetMode="External"/></Relationships>
</file>

<file path=word/_rels/header1.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libri"/>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mbria"/>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tint val="100000"/>
                <a:shade val="100000"/>
                <a:satMod val="130000"/>
              </a:schemeClr>
            </a:gs>
            <a:gs pos="100000">
              <a:schemeClr val="phClr">
                <a:tint val="50000"/>
                <a:shade val="100000"/>
                <a:satMod val="350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spDef>
      <a:spPr/>
      <a:bodyPr/>
      <a:lstStyle/>
      <a:style>
        <a:lnRef idx="1">
          <a:schemeClr val="accent1"/>
        </a:lnRef>
        <a:fillRef idx="3">
          <a:schemeClr val="accent1"/>
        </a:fillRef>
        <a:effectRef idx="2">
          <a:schemeClr val="accent1"/>
        </a:effectRef>
        <a:fontRef idx="minor">
          <a:schemeClr val="lt1"/>
        </a:fontRef>
      </a:style>
    </a:spDef>
    <a:lnDef>
      <a:spPr/>
      <a:bodyPr/>
      <a:lstStyle/>
      <a:style>
        <a:lnRef idx="2">
          <a:schemeClr val="accent1"/>
        </a:lnRef>
        <a:fillRef idx="0">
          <a:schemeClr val="accent1"/>
        </a:fillRef>
        <a:effectRef idx="1">
          <a:schemeClr val="accent1"/>
        </a:effectRef>
        <a:fontRef idx="minor">
          <a:schemeClr val="tx1"/>
        </a:fontRef>
      </a:style>
    </a:lnDef>
  </a:objectDefaults>
  <a:extraClrSchemeLst/>
</a:theme>
</file>